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eastAsia="zh-CN"/>
        </w:rPr>
        <w:t>1</w:t>
      </w:r>
    </w:p>
    <w:p>
      <w:pPr>
        <w:jc w:val="center"/>
        <w:textAlignment w:val="center"/>
        <w:rPr>
          <w:rFonts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部门（单位）整体绩效自评表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975"/>
        <w:gridCol w:w="1371"/>
        <w:gridCol w:w="452"/>
        <w:gridCol w:w="652"/>
        <w:gridCol w:w="431"/>
        <w:gridCol w:w="1015"/>
        <w:gridCol w:w="875"/>
        <w:gridCol w:w="477"/>
        <w:gridCol w:w="807"/>
        <w:gridCol w:w="1403"/>
        <w:gridCol w:w="1581"/>
        <w:gridCol w:w="1122"/>
        <w:gridCol w:w="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部门（单位）名称</w:t>
            </w:r>
          </w:p>
        </w:tc>
        <w:tc>
          <w:tcPr>
            <w:tcW w:w="98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香河县档案馆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联系人</w:t>
            </w:r>
          </w:p>
        </w:tc>
        <w:tc>
          <w:tcPr>
            <w:tcW w:w="3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郭振艳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联系电话</w:t>
            </w:r>
          </w:p>
        </w:tc>
        <w:tc>
          <w:tcPr>
            <w:tcW w:w="5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13603366885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评价时段</w:t>
            </w:r>
          </w:p>
        </w:tc>
        <w:tc>
          <w:tcPr>
            <w:tcW w:w="98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540" w:firstLineChars="300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9"/>
                <w:rFonts w:eastAsia="仿宋_GB2312"/>
                <w:lang w:eastAsia="zh-CN"/>
              </w:rPr>
              <w:t xml:space="preserve">  2019</w:t>
            </w:r>
            <w:r>
              <w:rPr>
                <w:rStyle w:val="8"/>
                <w:rFonts w:ascii="Times New Roman"/>
                <w:lang w:eastAsia="zh-CN"/>
              </w:rPr>
              <w:t>年</w:t>
            </w:r>
            <w:r>
              <w:rPr>
                <w:rStyle w:val="9"/>
                <w:rFonts w:eastAsia="仿宋_GB2312"/>
                <w:lang w:eastAsia="zh-CN"/>
              </w:rPr>
              <w:t xml:space="preserve"> 1 </w:t>
            </w:r>
            <w:r>
              <w:rPr>
                <w:rStyle w:val="8"/>
                <w:rFonts w:ascii="Times New Roman"/>
                <w:lang w:eastAsia="zh-CN"/>
              </w:rPr>
              <w:t>月</w:t>
            </w:r>
            <w:r>
              <w:rPr>
                <w:rStyle w:val="9"/>
                <w:rFonts w:eastAsia="仿宋_GB2312"/>
                <w:lang w:eastAsia="zh-CN"/>
              </w:rPr>
              <w:t xml:space="preserve">  1 </w:t>
            </w:r>
            <w:r>
              <w:rPr>
                <w:rStyle w:val="8"/>
                <w:rFonts w:ascii="Times New Roman"/>
                <w:lang w:eastAsia="zh-CN"/>
              </w:rPr>
              <w:t>日</w:t>
            </w:r>
            <w:r>
              <w:rPr>
                <w:rStyle w:val="9"/>
                <w:rFonts w:eastAsia="仿宋_GB2312"/>
                <w:lang w:eastAsia="zh-CN"/>
              </w:rPr>
              <w:t xml:space="preserve"> </w:t>
            </w:r>
            <w:r>
              <w:rPr>
                <w:rStyle w:val="8"/>
                <w:rFonts w:ascii="Times New Roman"/>
                <w:lang w:eastAsia="zh-CN"/>
              </w:rPr>
              <w:t>至</w:t>
            </w:r>
            <w:r>
              <w:rPr>
                <w:rStyle w:val="9"/>
                <w:rFonts w:eastAsia="仿宋_GB2312"/>
                <w:lang w:eastAsia="zh-CN"/>
              </w:rPr>
              <w:t xml:space="preserve">  2019</w:t>
            </w:r>
            <w:r>
              <w:rPr>
                <w:rStyle w:val="8"/>
                <w:rFonts w:ascii="Times New Roman"/>
                <w:lang w:eastAsia="zh-CN"/>
              </w:rPr>
              <w:t>年</w:t>
            </w:r>
            <w:r>
              <w:rPr>
                <w:rStyle w:val="9"/>
                <w:rFonts w:eastAsia="仿宋_GB2312"/>
                <w:lang w:eastAsia="zh-CN"/>
              </w:rPr>
              <w:t xml:space="preserve"> 12 </w:t>
            </w:r>
            <w:r>
              <w:rPr>
                <w:rStyle w:val="8"/>
                <w:rFonts w:ascii="Times New Roman"/>
                <w:lang w:eastAsia="zh-CN"/>
              </w:rPr>
              <w:t>月</w:t>
            </w:r>
            <w:r>
              <w:rPr>
                <w:rStyle w:val="9"/>
                <w:rFonts w:eastAsia="仿宋_GB2312"/>
                <w:lang w:eastAsia="zh-CN"/>
              </w:rPr>
              <w:t xml:space="preserve"> 31 </w:t>
            </w:r>
            <w:r>
              <w:rPr>
                <w:rStyle w:val="8"/>
                <w:rFonts w:ascii="Times New Roman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年度部门（单位）预算执行情况</w:t>
            </w:r>
          </w:p>
        </w:tc>
        <w:tc>
          <w:tcPr>
            <w:tcW w:w="4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预算收入（万元）</w:t>
            </w:r>
          </w:p>
        </w:tc>
        <w:tc>
          <w:tcPr>
            <w:tcW w:w="6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预算支出（万元）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收入科目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年初预算数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调整预算数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决算数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支出科目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年初预算数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调整预算数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决算数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财政拨款收入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436.58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423.36319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423.36319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人员经费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205.62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201.107262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201.107262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上级补助收入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日常公用经费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20.63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18.432221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16.679537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事业收入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专项公用支出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210.33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204.963707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201.471207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经营收入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专项项目支出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附属单位上缴收入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其他收入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本年收入合计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436.58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423.36319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423.36319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本年支出合计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436.58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424.50319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419.258006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年度主要任务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重点工作任务名称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重点工作任务完成情况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拟对应安排的重点项目</w:t>
            </w:r>
            <w:r>
              <w:rPr>
                <w:rStyle w:val="9"/>
                <w:rFonts w:eastAsia="仿宋_GB2312"/>
                <w:lang w:eastAsia="zh-CN"/>
              </w:rPr>
              <w:t xml:space="preserve">  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项目完成情况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预算数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（万元）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其中：财政拨款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执行数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（万元）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其中：财政拨款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档案收集保管与开发利用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加强档案信息化各类数据库建设，数字化加工、转换、备份，信息安全等级保护工作及特殊载体保管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档案数字化及数据库维护费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定期对数据库及网络进行维护，保证数据库及网络系统安全运行。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9.5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9.5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9.44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档案数字化扫描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78.2万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页档案扫描整理工作。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95.4925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95.4925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综合事务管理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维护档案馆库房设备、档案网运营管理、机关设施，推进档案事业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电子公文系统试点工作经费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购买主机、电脑、显示器、打印机等机关设备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4.983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4.983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4.54032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4.54032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低压电改造工程及采购所需资金</w:t>
            </w:r>
          </w:p>
        </w:tc>
        <w:tc>
          <w:tcPr>
            <w:tcW w:w="2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水电气改造，完成低压电改造，设置空气调节系统，综合布线等工程，购置密集柜，确保馆藏硬件要求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55.00826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55.00826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55.00826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55.00826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金额合计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169.49126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169.49126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164.48108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164.48108</w:t>
            </w:r>
          </w:p>
        </w:tc>
      </w:tr>
    </w:tbl>
    <w:p>
      <w:pPr>
        <w:spacing w:line="40" w:lineRule="exact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34"/>
        <w:gridCol w:w="704"/>
        <w:gridCol w:w="665"/>
        <w:gridCol w:w="784"/>
        <w:gridCol w:w="531"/>
        <w:gridCol w:w="1261"/>
        <w:gridCol w:w="3889"/>
        <w:gridCol w:w="294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一级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指标</w:t>
            </w: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二级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指标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三级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指标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目标值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自评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实际值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权重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数据来源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指标解释</w:t>
            </w:r>
            <w:r>
              <w:rPr>
                <w:rStyle w:val="9"/>
                <w:rFonts w:eastAsia="仿宋_GB2312"/>
                <w:lang w:eastAsia="zh-CN"/>
              </w:rPr>
              <w:t>*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评分规则*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838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部门管理（</w:t>
            </w:r>
            <w:r>
              <w:rPr>
                <w:rStyle w:val="9"/>
                <w:rFonts w:eastAsia="仿宋_GB2312"/>
                <w:lang w:eastAsia="zh-CN"/>
              </w:rPr>
              <w:t>40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资金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投入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预算完成率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98.76%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预算完成率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（预算完成数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调整预算数）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预算完成数为决算报表中本年支出决算数，调整预算数为决算报表中的本年支出调整预算数。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1.预算完成率大于或等于95%的，得满分；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2.预算完成率小于或等于85%的，得0分；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3.预算完成率在85%—95%之间的，在0分和满分之间计算确定：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得分=（实际值-85%）/10%*权重。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预算调整率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2.77%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预算调整率</w:t>
            </w:r>
            <w:r>
              <w:rPr>
                <w:rStyle w:val="9"/>
                <w:rFonts w:eastAsia="仿宋_GB2312"/>
                <w:lang w:eastAsia="zh-CN"/>
              </w:rPr>
              <w:t>=</w:t>
            </w:r>
            <w:r>
              <w:rPr>
                <w:rStyle w:val="8"/>
                <w:rFonts w:ascii="Times New Roman"/>
                <w:lang w:eastAsia="zh-CN"/>
              </w:rPr>
              <w:t>（预算调整数</w:t>
            </w:r>
            <w:r>
              <w:rPr>
                <w:rStyle w:val="9"/>
                <w:rFonts w:eastAsia="仿宋_GB2312"/>
                <w:lang w:eastAsia="zh-CN"/>
              </w:rPr>
              <w:t>/</w:t>
            </w:r>
            <w:r>
              <w:rPr>
                <w:rStyle w:val="8"/>
                <w:rFonts w:ascii="Times New Roman"/>
                <w:lang w:eastAsia="zh-CN"/>
              </w:rPr>
              <w:t>年初预算数）</w:t>
            </w:r>
            <w:r>
              <w:rPr>
                <w:rStyle w:val="9"/>
                <w:rFonts w:eastAsia="仿宋_GB2312"/>
                <w:lang w:eastAsia="zh-CN"/>
              </w:rPr>
              <w:t>×100%</w:t>
            </w:r>
            <w:r>
              <w:rPr>
                <w:rStyle w:val="8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预算调整数：部门（单位）在本年度内涉及预算的追加、追减或结构调整的资金总和（因落实国家政策、发生不可抗力、上级部门或本级党委政府临时交办而产生的调整除外）。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1.预算调整率等于0的，得满分；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2.预算调整率增幅或降幅大于等于5%的，得0分；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3.预算调整率在0—5%之间的，在0分和满分之间计算确定：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得分=（5%-|实际值|）/5%*权重；|实际值|为实际值的绝对值。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1.784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支出进度率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≥100%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89.02%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预算管理一体化平台、部门决算报表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支付进度率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6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月末实际支付进度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/6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月末序时支付进度）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×1/6+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9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月末实际支付进度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/9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月末序时支付进度）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×1/6+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11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月末实际支付进度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/11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月末序时支付进度）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×1/6+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12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月末实际支付进度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/95%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×1/2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Style w:val="8"/>
                <w:rFonts w:ascii="Times New Roman"/>
                <w:color w:val="auto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实际支付进度是指部门（单位）在某一时点的支出预算执行总数与调整预算数的比率。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6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月末序时支付进度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=6/12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；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9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月末序时支付进度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=9/12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；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11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月末序时支付进度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=11/12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；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12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月末序时支付进度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=95%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考察资金范围=上年结转结余资金+2019年度预算资金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1.支付进度率大于或等100%的，得满分；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2.支付进度率小于或等于60%的，不得分；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3.支付进度率在60%—100%之间的，在0分和满分之间计算确定：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得分=（实际值-60%）/40%*权重。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2.902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>“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”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变动率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>≤0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-58.67%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>“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”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变动率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=[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（本年度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“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”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支出总额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-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上年度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“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”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支出总额）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上年度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“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”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支出总额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]×100%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实际值小于等于0得满分，每增加1%扣权重分的10%，扣完为止。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结转结余变动率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>≤0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　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360.1%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结转结余变动率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（本年度累计结转结余资金总额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-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上年度累计结转结余资金总额）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上年度累计结转结余资金总额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×100%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实际值小于等于0得满分，每增加1%扣权重分的10%，扣完为止。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838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部门管理（</w:t>
            </w:r>
            <w:r>
              <w:rPr>
                <w:rStyle w:val="9"/>
                <w:rFonts w:eastAsia="仿宋_GB2312"/>
                <w:lang w:eastAsia="zh-CN"/>
              </w:rPr>
              <w:t>40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财务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问题资金占比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审计报告或整改意见书中所列示金额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问题资金占比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有问题资金额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部门支出决算数。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问题资金指审计、监督巡查、财政监督检查等工作中发现的问题资金。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 xml:space="preserve">得分=（1-问题资金占比）*权重。 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采购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政府采购执行率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98.98%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预算文本、部门决算报表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政府采购执行率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（实际政府采购金额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政府采购预算数）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×100%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政府采购预算数为调整预算数；实际政府采购金额为年末决算报表中政府采购金额。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1.政府采购执行率大于或等于95%的，得满分；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2.预算完成率小于或等于85%的，得0分；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3.预算完成率在85%—95%之间的，在0分和满分之间计算确定：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得分=（实际值-85%）/10%*权重。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资产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资产管理规范性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规范　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规范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行政事业性国有资产月报系统、廊坊市资产信息管理系统、河北省公务用车信息化管理平台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 xml:space="preserve">1.  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按照资产管理要求，是否建章立制，并严格执行：资产配置、处置程序是否规范，标准是否合理，处置是否及时等；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 xml:space="preserve">2.  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按会计制度要求，是否建立资产账目，实现与财务管理相结合；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 xml:space="preserve">3.  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资产月报和年报是否按照时间要求，及时、准确、完整上报；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>4.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资产信息系统数据是否及时更新，实现动态管理；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>5.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公务用车是否按照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“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三化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”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要求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,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及时纳入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“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全省一张网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”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平台系统管理。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一项未达标扣20%权重分，扣完为止。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人员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在职人员控制率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≤100%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在职人员控制率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（在职人员数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编制数）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×100%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实际值小于等于100%得满分，每增加1%扣权重分的10%，扣完为止。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信息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预决算信息公开性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按规定公开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按规定公开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>1.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是否按规定内容公开预决算信息；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>2.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是否按规定时限公开预决算信息。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具备要点1实际值得50%权重分，具备要点2实际值得50%权重分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绩效信息公开性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按规定公开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按规定公开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>1.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是否按规定内容公开2018年度专项项目自评结果；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9"/>
                <w:rFonts w:eastAsia="仿宋_GB2312"/>
                <w:color w:val="auto"/>
                <w:lang w:eastAsia="zh-CN"/>
              </w:rPr>
              <w:t>2.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是否按规定时限公开2018年度专项项目自评结果。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具备要点1实际值得50%权重分，具备要点2实际值得50%权重分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Times New Roman"/>
                <w:lang w:eastAsia="zh-CN"/>
              </w:rPr>
              <w:t>2</w:t>
            </w:r>
            <w:r>
              <w:rPr>
                <w:rStyle w:val="8"/>
                <w:rFonts w:ascii="Times New Roman"/>
                <w:lang w:eastAsia="zh-CN"/>
              </w:rPr>
              <w:t>部门管理（</w:t>
            </w:r>
            <w:r>
              <w:rPr>
                <w:rStyle w:val="9"/>
                <w:rFonts w:eastAsia="仿宋_GB2312"/>
                <w:lang w:eastAsia="zh-CN"/>
              </w:rPr>
              <w:t>40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lang w:eastAsia="zh-CN"/>
              </w:rPr>
            </w:pPr>
            <w:r>
              <w:rPr>
                <w:rStyle w:val="8"/>
                <w:rFonts w:ascii="Times New Roman"/>
                <w:lang w:eastAsia="zh-CN"/>
              </w:rPr>
              <w:t>绩效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绩效目标审核通过率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一上阶段申报数据、预算文本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绩效目标审核通过率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（审核通过安排预算的专项项目数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部门申报的专项项目数）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×100%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实际值为100%得满分，每降低1%扣权重分的10%，扣完为止。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绩效自评覆盖率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绩效自评覆盖率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（部门开展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2019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  <w:lang w:eastAsia="zh-CN"/>
              </w:rPr>
              <w:t>年度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专项项目自评的金额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/2019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  <w:lang w:eastAsia="zh-CN"/>
              </w:rPr>
              <w:t>年度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全部专项项目金额）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×100%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 xml:space="preserve">得分=绩效自评覆盖率*权重。 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部门产出（</w:t>
            </w:r>
            <w:r>
              <w:rPr>
                <w:rStyle w:val="9"/>
                <w:rFonts w:eastAsia="仿宋_GB2312"/>
                <w:lang w:eastAsia="zh-CN"/>
              </w:rPr>
              <w:t>40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数</w:t>
            </w:r>
            <w:r>
              <w:rPr>
                <w:rStyle w:val="9"/>
                <w:rFonts w:eastAsia="仿宋_GB2312"/>
                <w:lang w:eastAsia="zh-CN"/>
              </w:rPr>
              <w:t xml:space="preserve">  </w:t>
            </w:r>
            <w:r>
              <w:rPr>
                <w:rStyle w:val="8"/>
                <w:rFonts w:ascii="Times New Roman"/>
                <w:lang w:eastAsia="zh-CN"/>
              </w:rPr>
              <w:t>量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重点工作实际完成率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261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部门提供重点项目执行说明（包括本表上部分填列的重点项目完成情况、质量达标情况、及时情况的佐证材料）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重点工作实际完成率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（实际完成工作数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  <w:lang w:eastAsia="zh-CN"/>
              </w:rPr>
              <w:t>计划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工作数）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×100%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得分=重点工作实际完成率*权重 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质</w:t>
            </w:r>
            <w:r>
              <w:rPr>
                <w:rStyle w:val="9"/>
                <w:rFonts w:eastAsia="仿宋_GB2312"/>
                <w:lang w:eastAsia="zh-CN"/>
              </w:rPr>
              <w:t xml:space="preserve">  </w:t>
            </w:r>
            <w:r>
              <w:rPr>
                <w:rStyle w:val="8"/>
                <w:rFonts w:ascii="Times New Roman"/>
                <w:lang w:eastAsia="zh-CN"/>
              </w:rPr>
              <w:t>量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重点工作质量达标率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重点工作质量达标率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（质量达标工作数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实际工作数）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×100%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得分=重点工作质量达标率*权重。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时　效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重点工作完成及时率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重点工作完成及时率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（及时完成工作数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/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计划完成工作数）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×100%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6"/>
                <w:rFonts w:hint="default" w:ascii="Times New Roman" w:hAnsi="Times New Roman" w:eastAsia="仿宋_GB2312"/>
                <w:color w:val="auto"/>
                <w:lang w:eastAsia="zh-CN"/>
              </w:rPr>
              <w:t>得分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=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  <w:lang w:eastAsia="zh-CN"/>
              </w:rPr>
              <w:t>重点工作完成及时率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*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  <w:lang w:eastAsia="zh-CN"/>
              </w:rPr>
              <w:t>权重。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 xml:space="preserve"> 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成　本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一般性支出压减率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＞</w:t>
            </w: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＞</w:t>
            </w: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一般性支出压减情况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按照财政部门工作要求进行计算。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实际值达到目标值要求得满分，未达要求得0分。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8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部门效果（</w:t>
            </w:r>
            <w:r>
              <w:rPr>
                <w:rStyle w:val="9"/>
                <w:rFonts w:eastAsia="仿宋_GB2312"/>
                <w:lang w:eastAsia="zh-CN"/>
              </w:rPr>
              <w:t>20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社会</w:t>
            </w:r>
          </w:p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效益</w:t>
            </w:r>
          </w:p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提高办公效率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有所提升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有所提升</w:t>
            </w:r>
          </w:p>
        </w:tc>
        <w:tc>
          <w:tcPr>
            <w:tcW w:w="531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部门自行提供</w:t>
            </w:r>
          </w:p>
        </w:tc>
        <w:tc>
          <w:tcPr>
            <w:tcW w:w="388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此三项指标为设置部门整体绩效评价指标时必须考虑的共性要素，可根据部门整体绩效目标设立情况有选择地进行设置。除重点工作任务下对应的重点项目产生的效果外，还需关注部门的综合效果，与年度目标进行呼应。（所设指标个数不少于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5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个）</w:t>
            </w:r>
          </w:p>
        </w:tc>
        <w:tc>
          <w:tcPr>
            <w:tcW w:w="2940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一、定量指标评分规则：与年初指标值相比，完成指标值的，记该指标所赋全部分值；对完成值高出指标值较多的，要分析原因，如果是由于年初指标值设定偏低造成的，按要按照偏离度适度扣减分值；未完成指标值的，按照完成值与指标值的比例记分。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二、定性指标评分规则：根据指标完成情况分为达成年度指标、部分达成年度指标并具有一定效果、未达成年度指标且效果较差三档，分别按照该指标对应分值区间100%-80%（含）、80%-60%（含）、60%-0（含）合理确定分值。</w:t>
            </w:r>
          </w:p>
        </w:tc>
        <w:tc>
          <w:tcPr>
            <w:tcW w:w="748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社会</w:t>
            </w:r>
          </w:p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效益</w:t>
            </w:r>
          </w:p>
          <w:p>
            <w:pPr>
              <w:jc w:val="center"/>
              <w:textAlignment w:val="center"/>
              <w:rPr>
                <w:rStyle w:val="8"/>
                <w:rFonts w:ascii="Times New Roman"/>
                <w:color w:val="auto"/>
                <w:lang w:eastAsia="zh-CN"/>
              </w:rPr>
            </w:pP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提高工作效益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有所提升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有所提升</w:t>
            </w:r>
          </w:p>
        </w:tc>
        <w:tc>
          <w:tcPr>
            <w:tcW w:w="53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83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/>
                <w:lang w:eastAsia="zh-CN"/>
              </w:rPr>
            </w:pP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9"/>
                <w:rFonts w:eastAsia="仿宋_GB2312"/>
                <w:color w:val="auto"/>
                <w:lang w:eastAsia="zh-CN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社会</w:t>
            </w:r>
          </w:p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效益</w:t>
            </w:r>
          </w:p>
          <w:p>
            <w:pPr>
              <w:jc w:val="center"/>
              <w:textAlignment w:val="center"/>
              <w:rPr>
                <w:rStyle w:val="8"/>
                <w:rFonts w:ascii="Times New Roman"/>
                <w:color w:val="auto"/>
                <w:lang w:eastAsia="zh-CN"/>
              </w:rPr>
            </w:pP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综合利用率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有所提升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有所提升</w:t>
            </w:r>
          </w:p>
        </w:tc>
        <w:tc>
          <w:tcPr>
            <w:tcW w:w="53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3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部门效果（</w:t>
            </w:r>
            <w:r>
              <w:rPr>
                <w:rStyle w:val="9"/>
                <w:rFonts w:eastAsia="仿宋_GB2312"/>
                <w:lang w:eastAsia="zh-CN"/>
              </w:rPr>
              <w:t>20</w:t>
            </w:r>
            <w:r>
              <w:rPr>
                <w:rStyle w:val="8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/>
                <w:lang w:eastAsia="zh-CN"/>
              </w:rPr>
              <w:t>满意度</w:t>
            </w:r>
          </w:p>
        </w:tc>
        <w:tc>
          <w:tcPr>
            <w:tcW w:w="70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接待人员满意度</w:t>
            </w:r>
          </w:p>
        </w:tc>
        <w:tc>
          <w:tcPr>
            <w:tcW w:w="66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≥90%</w:t>
            </w:r>
          </w:p>
        </w:tc>
        <w:tc>
          <w:tcPr>
            <w:tcW w:w="78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问卷调查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社会公众或服务对象对部门整体工作效果的满意程度。（所设指标个数至少1个）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1.满意度大于或等于90%的，得满分；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2.满意度小于或等于60%的，得0分；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3.满意度在60%—90%之间的，在0分和满分之间计算确定：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得分=（实际值-60%）/30%*权重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Style w:val="8"/>
                <w:rFonts w:ascii="Times New Roman"/>
                <w:color w:val="auto"/>
                <w:lang w:eastAsia="zh-CN"/>
              </w:rPr>
              <w:t>合　计</w:t>
            </w:r>
          </w:p>
        </w:tc>
        <w:tc>
          <w:tcPr>
            <w:tcW w:w="5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38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29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74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92.686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525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评价结论：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绩效指标完成的指标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通过项目开展，</w:t>
            </w:r>
            <w:r>
              <w:rPr>
                <w:rStyle w:val="8"/>
                <w:rFonts w:hint="eastAsia" w:ascii="Times New Roman"/>
                <w:color w:val="auto"/>
                <w:lang w:eastAsia="zh-CN"/>
              </w:rPr>
              <w:t>加强档案信息化各类数据库建设，数字化加工、转换、备份，信息安全等级保护工作及特殊载体保管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确，利用设备购置，购买社会服务及维修维护等日常支出，保证单位档案管理和日常办公的正常有效运行，保证存量档案数字化的安全，加快增量档案数字化的步伐，保证数据库及网络系统安全运行。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超标完成和尚未完成的绩效指标与目标值偏差程度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预算完成率与目标值偏差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3.76%；预算调整率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2.766%；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支出进度率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10.98%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“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”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变动率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58.67%；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结转结余变动率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360.1%；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政府采购执行率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3.98%；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在职人员控制率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525" w:type="dxa"/>
            <w:gridSpan w:val="5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  <w:lang w:eastAsia="zh-CN"/>
              </w:rPr>
              <w:t>超标完成和尚未完成的绩效指标原因说明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预算完成率与目标值偏差和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预算调整率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主要原因是人员经费减少；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支出进度率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与目标值偏差主要原因是资金申请审批支付流程过长；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“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三公经费</w:t>
            </w:r>
            <w:r>
              <w:rPr>
                <w:rStyle w:val="9"/>
                <w:rFonts w:eastAsia="仿宋_GB2312"/>
                <w:color w:val="auto"/>
                <w:lang w:eastAsia="zh-CN"/>
              </w:rPr>
              <w:t>”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变动率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与目标值偏差主要是减少车辆出行和修理费用支出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；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结转结余变动率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主要因为年末结余结转资金比上年度结余结转资金多；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政府采购执行率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与目标值偏差主要是因为档案数字化扫描资金减少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；</w:t>
            </w:r>
            <w:r>
              <w:rPr>
                <w:rStyle w:val="8"/>
                <w:rFonts w:ascii="Times New Roman"/>
                <w:color w:val="auto"/>
                <w:lang w:eastAsia="zh-CN"/>
              </w:rPr>
              <w:t>在职人员控制率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与目标值偏差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编制数为10人，在职人员为9人。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72" w:type="dxa"/>
            <w:gridSpan w:val="2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改进措施</w:t>
            </w:r>
          </w:p>
        </w:tc>
        <w:tc>
          <w:tcPr>
            <w:tcW w:w="2153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1.对部门预算编制、预算执行与部门决算等的措施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在项目预算制定、实施、监管过程中，重视项目预算绩效成果、确保项目预算达到预期绩效目标。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2" w:type="dxa"/>
            <w:gridSpan w:val="2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2.对制度完善、人员管理、资产配置等的措施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加强制度完善，提高人员管理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2" w:type="dxa"/>
            <w:gridSpan w:val="2"/>
            <w:vMerge w:val="continue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Borders>
              <w:bottom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3.其他措施</w:t>
            </w:r>
          </w:p>
        </w:tc>
        <w:tc>
          <w:tcPr>
            <w:tcW w:w="9369" w:type="dxa"/>
            <w:gridSpan w:val="5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加强专业化建设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填表要求：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1、年度部门（单位）预算执行情况按年度部门决算报表所列数据填写。</w:t>
            </w:r>
          </w:p>
          <w:p>
            <w:pPr>
              <w:textAlignment w:val="bottom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2、重点工作任务对应安排的重点项目部分，重点项目选择标准：单个项目资金额为150万元以上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项目合计资金占全部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项目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资金金额60%以上，个数要求为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占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项目总数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50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%以上。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3、部门产出部分和部门效果部分的各项指标为必须考虑的要素，可根据部门职责、全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发展重点工作设置，应主要围绕重点项目的产出效果情况来确定核心业务指标。同时，部门效益指标部分除重点工作任务下对应的重点项目产生的效果外，还需关注部门的综合效果，与年度目标进行呼应。（所设指标个数不少于5个）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4、整体绩效评价结果（绩效评级）划分为四个等次，“优”等次：90分（含）—100分、“良”等次：80分（含）—90分、“中”等次：60分（含）—80分、“差”等次：60分以下。</w:t>
            </w:r>
          </w:p>
        </w:tc>
      </w:tr>
    </w:tbl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spacing w:line="584" w:lineRule="exact"/>
        <w:rPr>
          <w:rFonts w:eastAsia="仿宋_GB2312"/>
          <w:color w:val="000000"/>
          <w:sz w:val="32"/>
          <w:szCs w:val="32"/>
          <w:lang w:eastAsia="zh-CN"/>
        </w:rPr>
        <w:sectPr>
          <w:pgSz w:w="16840" w:h="11907" w:orient="landscape"/>
          <w:pgMar w:top="1531" w:right="1985" w:bottom="1531" w:left="1985" w:header="720" w:footer="720" w:gutter="0"/>
          <w:cols w:space="720" w:num="1"/>
          <w:docGrid w:linePitch="360" w:charSpace="0"/>
        </w:sectPr>
      </w:pPr>
    </w:p>
    <w:p>
      <w:pPr>
        <w:pStyle w:val="2"/>
        <w:spacing w:before="0" w:after="0" w:line="584" w:lineRule="exact"/>
        <w:rPr>
          <w:rFonts w:hint="eastAsia" w:ascii="Times New Roman" w:eastAsia="黑体"/>
          <w:b w:val="0"/>
          <w:sz w:val="32"/>
          <w:szCs w:val="32"/>
          <w:lang w:eastAsia="zh-CN"/>
        </w:rPr>
      </w:pPr>
      <w:r>
        <w:rPr>
          <w:rFonts w:hint="eastAsia" w:ascii="Times New Roman" w:eastAsia="黑体"/>
          <w:b w:val="0"/>
          <w:sz w:val="32"/>
          <w:szCs w:val="32"/>
          <w:lang w:eastAsia="zh-CN"/>
        </w:rPr>
        <w:t>附件3</w:t>
      </w:r>
    </w:p>
    <w:p>
      <w:pPr>
        <w:autoSpaceDE w:val="0"/>
        <w:autoSpaceDN w:val="0"/>
        <w:adjustRightInd w:val="0"/>
        <w:spacing w:line="584" w:lineRule="exact"/>
        <w:jc w:val="center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部门（单位）整体绩效自评报告</w:t>
      </w: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部门（单位）名称：香河县档案馆</w:t>
      </w: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eastAsia="zh-CN"/>
        </w:rPr>
        <w:t>主管部门：中共香河县委</w:t>
      </w: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  <w:lang w:eastAsia="zh-CN"/>
        </w:rPr>
        <w:t xml:space="preserve">          </w:t>
      </w: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900" w:firstLineChars="13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6300" w:firstLineChars="2100"/>
        <w:rPr>
          <w:rFonts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2020</w:t>
      </w:r>
      <w:r>
        <w:rPr>
          <w:rFonts w:hint="eastAsia" w:eastAsia="仿宋_GB2312"/>
          <w:sz w:val="30"/>
          <w:szCs w:val="30"/>
          <w:lang w:eastAsia="zh-CN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eastAsia="仿宋_GB2312"/>
          <w:sz w:val="30"/>
          <w:szCs w:val="30"/>
          <w:lang w:eastAsia="zh-CN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25</w:t>
      </w:r>
      <w:r>
        <w:rPr>
          <w:rFonts w:hint="eastAsia" w:eastAsia="仿宋_GB2312"/>
          <w:sz w:val="30"/>
          <w:szCs w:val="30"/>
          <w:lang w:eastAsia="zh-CN"/>
        </w:rPr>
        <w:t>日</w:t>
      </w:r>
    </w:p>
    <w:p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eastAsia="zh-CN"/>
        </w:rPr>
      </w:pPr>
    </w:p>
    <w:p>
      <w:pPr>
        <w:rPr>
          <w:rFonts w:eastAsia="仿宋_GB2312"/>
          <w:sz w:val="28"/>
          <w:szCs w:val="28"/>
          <w:lang w:val="zh-CN" w:eastAsia="zh-CN"/>
        </w:rPr>
      </w:pPr>
    </w:p>
    <w:p>
      <w:pPr>
        <w:textAlignment w:val="center"/>
        <w:rPr>
          <w:rFonts w:eastAsia="仿宋_GB2312"/>
          <w:sz w:val="28"/>
          <w:szCs w:val="28"/>
          <w:lang w:val="zh-C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县档案馆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深入学习贯彻落实党的十九大精神，以习近平新时代中国特色社会主义思想为指导，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学习贯彻习近平新时代中国特色社会主义思想。紧紧围绕全县中心工作，以加强档案资源建设为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主线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，以档案信息化建设为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抓手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，全面落实年初制定的档案工作目标，有力推进县档案工作的健康发展。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3" w:firstLineChars="200"/>
        <w:textAlignment w:val="auto"/>
        <w:rPr>
          <w:rFonts w:ascii="黑体" w:eastAsia="黑体"/>
          <w:bCs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  <w:lang w:eastAsia="zh-CN"/>
        </w:rPr>
        <w:t>一、部门（单位）概况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（一）部门（单位）主要职责职能，组织架构、人员及资产等基本情况。</w:t>
      </w:r>
    </w:p>
    <w:p>
      <w:pPr>
        <w:spacing w:line="600" w:lineRule="exact"/>
        <w:ind w:firstLine="64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eastAsia="仿宋"/>
          <w:sz w:val="32"/>
          <w:szCs w:val="32"/>
        </w:rPr>
        <w:t>贯彻执行国家、河北省、廊坊市有关档案管理的法律、法规、规章。</w:t>
      </w:r>
    </w:p>
    <w:p>
      <w:pPr>
        <w:spacing w:line="600" w:lineRule="exact"/>
        <w:ind w:firstLine="64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eastAsia="仿宋"/>
          <w:sz w:val="32"/>
          <w:szCs w:val="32"/>
        </w:rPr>
        <w:t>集中统一管理县直机关及乡镇各历史时期的档案资料，保守党和国家机密，维护档案完整，确保档案资料安全。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eastAsia="仿宋"/>
          <w:sz w:val="32"/>
          <w:szCs w:val="32"/>
        </w:rPr>
        <w:t>接收县委、县人大、县政府、县政协、县纪委、监察委及县直各机关、单位应进馆的档案资料。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eastAsia="仿宋"/>
          <w:sz w:val="32"/>
          <w:szCs w:val="32"/>
        </w:rPr>
        <w:t>征集散存在社会上对国家和社会有保存价值的珍贵档案资料。</w:t>
      </w:r>
    </w:p>
    <w:p>
      <w:pPr>
        <w:spacing w:line="600" w:lineRule="exact"/>
        <w:ind w:firstLine="62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5、</w:t>
      </w:r>
      <w:r>
        <w:rPr>
          <w:rFonts w:hint="eastAsia" w:ascii="仿宋" w:eastAsia="仿宋"/>
          <w:sz w:val="32"/>
          <w:szCs w:val="32"/>
        </w:rPr>
        <w:t xml:space="preserve">负责馆藏档案资料的整理、编目、鉴定、统计和技术保护工作。    </w:t>
      </w:r>
    </w:p>
    <w:p>
      <w:pPr>
        <w:spacing w:line="600" w:lineRule="exact"/>
        <w:ind w:firstLine="62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6、</w:t>
      </w:r>
      <w:r>
        <w:rPr>
          <w:rFonts w:hint="eastAsia" w:ascii="仿宋" w:eastAsia="仿宋"/>
          <w:sz w:val="32"/>
          <w:szCs w:val="32"/>
        </w:rPr>
        <w:t>依法开放档案，为党和政府及社会各方面提供利用服务。</w:t>
      </w:r>
    </w:p>
    <w:p>
      <w:pPr>
        <w:spacing w:line="600" w:lineRule="exact"/>
        <w:ind w:firstLine="62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7、</w:t>
      </w:r>
      <w:r>
        <w:rPr>
          <w:rFonts w:hint="eastAsia" w:ascii="仿宋" w:eastAsia="仿宋"/>
          <w:sz w:val="32"/>
          <w:szCs w:val="32"/>
        </w:rPr>
        <w:t>承担政府公开信息的收集、管理和集中查阅工作。</w:t>
      </w:r>
    </w:p>
    <w:p>
      <w:pPr>
        <w:spacing w:line="600" w:lineRule="exact"/>
        <w:ind w:firstLine="62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8、</w:t>
      </w:r>
      <w:r>
        <w:rPr>
          <w:rFonts w:hint="eastAsia" w:ascii="仿宋" w:eastAsia="仿宋"/>
          <w:sz w:val="32"/>
          <w:szCs w:val="32"/>
        </w:rPr>
        <w:t>开发档案信息资源，开展档案史料编研出版、展览陈列和社会教育活动。</w:t>
      </w:r>
    </w:p>
    <w:p>
      <w:pPr>
        <w:spacing w:line="600" w:lineRule="exact"/>
        <w:ind w:firstLine="62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9、</w:t>
      </w:r>
      <w:r>
        <w:rPr>
          <w:rFonts w:hint="eastAsia" w:ascii="仿宋" w:eastAsia="仿宋"/>
          <w:sz w:val="32"/>
          <w:szCs w:val="32"/>
        </w:rPr>
        <w:t>运用现代化技术手段，开展馆藏档案信息化建设。</w:t>
      </w:r>
    </w:p>
    <w:p>
      <w:pPr>
        <w:spacing w:line="600" w:lineRule="exact"/>
        <w:ind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10、</w:t>
      </w:r>
      <w:r>
        <w:rPr>
          <w:rFonts w:hint="eastAsia" w:ascii="仿宋" w:eastAsia="仿宋"/>
          <w:sz w:val="32"/>
          <w:szCs w:val="32"/>
        </w:rPr>
        <w:t>完成县委交办的其他任务。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我单位为财政拨款的</w:t>
      </w:r>
      <w:r>
        <w:rPr>
          <w:rFonts w:hint="eastAsia" w:ascii="仿宋_GB2312" w:hAnsi="Cambria" w:eastAsia="仿宋_GB2312" w:cs="ArialUnicodeMS"/>
          <w:kern w:val="0"/>
          <w:sz w:val="32"/>
          <w:szCs w:val="32"/>
        </w:rPr>
        <w:t>参公事业单位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eastAsia="zh-CN"/>
        </w:rPr>
        <w:t>，主管部门是中共香河县委，截止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2019年12月31日，我单位编制人员10人，在职人员9人。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  <w:lang w:eastAsia="zh-CN"/>
        </w:rPr>
        <w:t>当年部门（单位）履职总体目标、工作任务。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今年我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馆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继续加大档案接收力度，有序接收各立档单位201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年以前档案进馆，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今年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共接收2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家单位，647卷，14725件档案进馆，其中重点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机构改革撤并20家单位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档案接收进馆工作，共接收档案331卷，12425件。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按照档案法年满30年档案应向社会开放的规定，我馆1989年以前应开放的档案已经全部向社会开放，共计19214卷，其中永久卷10778卷，长期卷8436卷。今年共开放756卷，其中永久342卷，长期414卷。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（三）当年部门（单位）年度整体绩效目标。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2019年全县档案工作的年度发展规划是：深入学习贯彻落实党的十九大精神，以习近平新时代中国特色社会主义思想为指导，努力实现“十三五”全县档案事业发展规划目标，不断开创全县档案事业发展新局面。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（四）部门（单位）预算绩效管理开展情况。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根据预算绩效管理要求，本部门以“部门职责——工作活动绩效目标”为依据，制定了切实可靠的预算绩效评价实施方案，确定部门预算项目和预算额度，对评价项目进行了细化、量化，清晰描述预算项目开支范围和内容，确定预算项目的绩效目标、绩效指标和评价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（五）当年部门（单位）预算及执行情况。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我单位2019年度一般公共预算财政拨款收入，年初预算数为436.58万元，决算数为423.36319万元；2019年度支出年初预算数为436.58万元，决算数为419.258006万元，其中基本支出217.786799万元，项目支出201.471207万元。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二、部门（单位）整体绩效实现情况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（一）部门产出情况：我单位持续推进档案数字化建设，已完成馆藏档案数字化扫描任务万78.2万页，既保护了档案实体安全又提高了工作效率。定期对数据库及网络进行维护，保证数据库及网络系统安全运行。完成水电气改造，完成低压电改造，设置空气调节系统，综合布线等工程，购置密集柜，确保馆藏硬件要求。工作实际完成率为100%，工作质量达标率为100%，工作完成及时率为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（二）部门效果情况：档案馆通过软硬件的改善，进一步提高了的工作效率。2019年，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共接待查阅档案群众1200余人（次），提调档案资料2000余卷（件），复印档案资料1600余页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。接待人员满意度达到95%以上。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三、部门（单位）整体绩效评价存在问题及改进措施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2019年度，我们虽然做了大量工作，取得了一定成效，但还存在一定的不足，离县委县政府的要求还有一定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差距</w:t>
      </w:r>
      <w:r>
        <w:rPr>
          <w:rFonts w:hint="eastAsia" w:ascii="仿宋_GB2312" w:hAnsi="Cambria" w:eastAsia="仿宋_GB2312" w:cs="ArialUnicodeMS"/>
          <w:kern w:val="0"/>
          <w:sz w:val="32"/>
          <w:szCs w:val="32"/>
          <w:lang w:val="zh-CN" w:eastAsia="zh-CN"/>
        </w:rPr>
        <w:t>。今后我单位要以更高的标准和要求抓好工作，在项目预算制定、实施、监管过程中，重视项目预算绩效成果、确保项目预算达到预期绩效目标。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四、绩效自评结果拟应用和公开情况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  <w:t>项目预期绩效目标是设置绩效评价指标、标准和衡量项目支出绩效的重要依据。我单位要结合评价结果，对被评价项目绩效情况、完成的程度和存在的问题与建议加以综合分析，强化评价结果的应用。通过这一举措，促进单位对严格执行财政预算的自主意识，提高项目资金执行率，促进项目实施的进度，保障年初设定的绩效目标的实现，提高财政资金的使用效益，实现绩效评价与部门预算的有机结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mbria" w:eastAsia="仿宋_GB2312" w:cs="ArialUnicodeMS"/>
          <w:kern w:val="0"/>
          <w:sz w:val="32"/>
          <w:szCs w:val="32"/>
          <w:lang w:val="en-US" w:eastAsia="zh-CN"/>
        </w:rPr>
      </w:pPr>
    </w:p>
    <w:sectPr>
      <w:pgSz w:w="11907" w:h="16840"/>
      <w:pgMar w:top="1418" w:right="1531" w:bottom="1418" w:left="153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UnicodeMS">
    <w:altName w:val="Malgun Gothic"/>
    <w:panose1 w:val="00000000000000000000"/>
    <w:charset w:val="81"/>
    <w:family w:val="auto"/>
    <w:pitch w:val="default"/>
    <w:sig w:usb0="00000000" w:usb1="00000000" w:usb2="00000010" w:usb3="00000000" w:csb0="0008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F32C4"/>
    <w:multiLevelType w:val="singleLevel"/>
    <w:tmpl w:val="25FF32C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A9"/>
    <w:rsid w:val="00647DDB"/>
    <w:rsid w:val="006B7CA9"/>
    <w:rsid w:val="021404BD"/>
    <w:rsid w:val="02DE1FFC"/>
    <w:rsid w:val="05FC53AA"/>
    <w:rsid w:val="07634D49"/>
    <w:rsid w:val="09C640EC"/>
    <w:rsid w:val="1318258A"/>
    <w:rsid w:val="15E93EAC"/>
    <w:rsid w:val="16A465E9"/>
    <w:rsid w:val="1D053431"/>
    <w:rsid w:val="1D57556D"/>
    <w:rsid w:val="20C30D3E"/>
    <w:rsid w:val="24BC0239"/>
    <w:rsid w:val="27E265F5"/>
    <w:rsid w:val="28042C25"/>
    <w:rsid w:val="2959549C"/>
    <w:rsid w:val="2B432078"/>
    <w:rsid w:val="2D116E37"/>
    <w:rsid w:val="2DF3604F"/>
    <w:rsid w:val="30FA3A58"/>
    <w:rsid w:val="33804907"/>
    <w:rsid w:val="358B3C45"/>
    <w:rsid w:val="390F0313"/>
    <w:rsid w:val="3AA44A54"/>
    <w:rsid w:val="3B3865E7"/>
    <w:rsid w:val="3F37431A"/>
    <w:rsid w:val="51AA3038"/>
    <w:rsid w:val="51B94DAD"/>
    <w:rsid w:val="5ACB4D22"/>
    <w:rsid w:val="5C946C8D"/>
    <w:rsid w:val="5EA82123"/>
    <w:rsid w:val="633F5A90"/>
    <w:rsid w:val="64423EB8"/>
    <w:rsid w:val="68AD3614"/>
    <w:rsid w:val="69347635"/>
    <w:rsid w:val="69E932F0"/>
    <w:rsid w:val="6BC82B8C"/>
    <w:rsid w:val="6D637EAE"/>
    <w:rsid w:val="73EA310B"/>
    <w:rsid w:val="75B66922"/>
    <w:rsid w:val="76C854A9"/>
    <w:rsid w:val="780F3624"/>
    <w:rsid w:val="7AC23A9B"/>
    <w:rsid w:val="7D063195"/>
    <w:rsid w:val="7F406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标题 1 Char"/>
    <w:basedOn w:val="5"/>
    <w:link w:val="2"/>
    <w:qFormat/>
    <w:uiPriority w:val="0"/>
    <w:rPr>
      <w:rFonts w:ascii="Calibri" w:hAnsi="Calibri"/>
      <w:b/>
      <w:bCs/>
      <w:kern w:val="44"/>
      <w:sz w:val="44"/>
      <w:szCs w:val="24"/>
      <w:lang w:eastAsia="en-US"/>
    </w:rPr>
  </w:style>
  <w:style w:type="character" w:customStyle="1" w:styleId="8">
    <w:name w:val="font11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1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714</Words>
  <Characters>4071</Characters>
  <Lines>33</Lines>
  <Paragraphs>9</Paragraphs>
  <TotalTime>32</TotalTime>
  <ScaleCrop>false</ScaleCrop>
  <LinksUpToDate>false</LinksUpToDate>
  <CharactersWithSpaces>4776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2020-11-20T02:46:00Z</dcterms:created>
  <dc:creator>NTKO</dc:creator>
  <cp:lastModifiedBy>小黑猴子</cp:lastModifiedBy>
  <cp:lastPrinted>2020-11-27T06:39:00Z</cp:lastPrinted>
  <dcterms:modified xsi:type="dcterms:W3CDTF">2021-07-12T02:40:18Z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A3459C3139164A439688ABA3E0EBA1F7</vt:lpwstr>
  </property>
</Properties>
</file>