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g">
            <w:drawing>
              <wp:anchor distT="0" distB="0" distL="114300" distR="114300" simplePos="0" relativeHeight="251679744" behindDoc="1" locked="0" layoutInCell="1" allowOverlap="1">
                <wp:simplePos x="0" y="0"/>
                <wp:positionH relativeFrom="column">
                  <wp:posOffset>-22225</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1.75pt;margin-top:0pt;height:322.1pt;width:600.25pt;z-index:-251636736;mso-width-relative:page;mso-height-relative:page;" coordorigin="13622,283" coordsize="12005,6442" o:gfxdata="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V2w7r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ind w:firstLine="1120" w:firstLineChars="200"/>
        <w:jc w:val="both"/>
        <w:rPr>
          <w:rFonts w:hint="default" w:ascii="黑体" w:hAnsi="黑体" w:eastAsia="黑体" w:cs="黑体"/>
          <w:sz w:val="56"/>
          <w:szCs w:val="72"/>
          <w:lang w:val="en-US" w:eastAsia="zh-CN"/>
        </w:rPr>
      </w:pPr>
      <w:r>
        <w:rPr>
          <w:rFonts w:hint="eastAsia" w:ascii="黑体" w:hAnsi="黑体" w:eastAsia="黑体" w:cs="黑体"/>
          <w:sz w:val="56"/>
          <w:szCs w:val="72"/>
          <w:lang w:val="en-US" w:eastAsia="zh-CN"/>
        </w:rPr>
        <w:t>香河县文化广电和旅游局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一）贯彻国家、省、市关于文化艺术、广播电影电视、新闻出版、版权、文物、体育工作的方针、政策和法规，研究拟定我县文化艺术、广播电影电视、新闻出版、版权、文物、体育工作方针、政策，并监督实施。统筹协调全县旅游业发展，指导全县旅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拟定全县文化艺术、文物、广播电影电视、新闻出版、体育事业发展规划并组织实施，拟定国际国内旅游市场开发战略并组织实施；组织指导旅游市场调研和信息交流工作；组织全县旅游整体形象的对外宣传和重大推广活动。推进文化艺术、广播电影电视、新闻出版、体育领域的体制机制改革。</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指导、管理全县文化艺术、广播电影电视、新闻出版事业、体育事业，指导全县重点旅游区域、旅游目的地和旅游线路的规划开发，引导休闲度假，指导艺术创作与生产，推动各门类艺术的发展，管理全县性重大文化活动。组织全县旅游资源的普查、规划、开发和相关保护工作。监测全县旅游经济运行。引导旅游业社会投资，负责旅游统计及行业信息发布。协调和指导全县假日旅游、红色旅游工作。开展对外文化交流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四）承担规范旅游市场秩序。监督管理服务质量、维护旅游消费者和经营者合法权益。规范旅游企业和从业人员的经营和服务行为。组织实施旅游景区（点）、旅游设施、旅游服务、旅游产品等方面的规范和标准。负责旅游安全的综合协调和监督管理，指导应急救援工作。统筹指导全县旅游行业精神文明建设和诚信体系建设。</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五）负责推动旅游国际交流与合作，贯彻执行国家出入境旅游的相关政策，组织指导入境旅游和全县公民出境旅游工作。推动全县文化艺术领域的公共文化服务，规划、引导公共文化产品生产，指导县重点文化设施建设和基层文化设施建设，对文化艺术经营活动进行行业监管，对全县从事演艺活动的民办机构进行监管。</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（六）指导、管理全县社会文化事业，指导图书馆、文化馆（站）和基层文化建设。</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（七）拟定全县非物质文化遗产保护规划及规定，组织实施非物质文化遗产保护和优秀民族文化的传承普及工作。</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（八）拟定全县文化市场和旅游市场发展规划，依法审核在我县设立经营国内旅游和入境旅游业务的旅行社。指导文化市场综合执法工作并负责全县特种旅游工作。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（九）拟定全县文化艺术、广播电影电视、新闻出版、旅游产业发展规划，指导、协调文化艺术、广播电影电视、新闻出版、旅游产业发展，推进对外文化产业交流与合作。</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（十）负责全县文艺类产品网上传播的前置审核工作。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（十一）拟定全县动漫、游戏产业发展规划并组织实施；指导协调动漫、游戏产业发展，负责动漫、网络游戏管理及相关产业规划、产业基地、项目建设、会展交易和市场监管。</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（十二）负责新闻出版从业人员职业资格管理和职业技能鉴定工作；协助省、市新闻出版局对全县新闻单位记者证的管理工作，负责县内报刊社、记者站的监管工作，组织查处新闻违法活动。</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（十三）监管全县出版活动，组织查处非法出版物和非法出版活动；对新闻出版单位和出版物内容进行监管；拟定全县出版市场和互联网“扫黄打非”计划并组织实施；负责著作权管理工作。负责印刷业的监管。</w:t>
      </w:r>
    </w:p>
    <w:p>
      <w:pPr>
        <w:tabs>
          <w:tab w:val="left" w:pos="630"/>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四）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tabs>
          <w:tab w:val="left" w:pos="630"/>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（十五）贯彻执行国家赴港澳台旅游政策，组织实施对港澳台旅游市场的推广工作。按规定承担县内居民赴港澳台旅游的有关事务，审核港澳台在我县设立的旅游机构，审查港澳台投资旅行社市场准入资格。</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（十六）拟定全县文化、广播电影电视、新闻出版、旅游科技发展规划并监督实施，推进文化、广播电影电视、新闻出版、旅游科技信息建设。</w:t>
      </w:r>
    </w:p>
    <w:p>
      <w:pPr>
        <w:spacing w:line="560" w:lineRule="exact"/>
        <w:rPr>
          <w:rFonts w:ascii="仿宋" w:hAnsi="仿宋" w:eastAsia="仿宋"/>
          <w:kern w:val="0"/>
          <w:sz w:val="32"/>
          <w:szCs w:val="32"/>
        </w:rPr>
      </w:pPr>
      <w:r>
        <w:rPr>
          <w:rFonts w:ascii="仿宋" w:hAnsi="仿宋" w:eastAsia="仿宋"/>
          <w:sz w:val="32"/>
          <w:szCs w:val="32"/>
        </w:rPr>
        <w:t xml:space="preserve">    (</w:t>
      </w:r>
      <w:r>
        <w:rPr>
          <w:rFonts w:hint="eastAsia" w:ascii="仿宋" w:hAnsi="仿宋" w:eastAsia="仿宋"/>
          <w:sz w:val="32"/>
          <w:szCs w:val="32"/>
        </w:rPr>
        <w:t>十七</w:t>
      </w:r>
      <w:r>
        <w:rPr>
          <w:rFonts w:ascii="仿宋" w:hAnsi="仿宋" w:eastAsia="仿宋"/>
          <w:sz w:val="32"/>
          <w:szCs w:val="32"/>
        </w:rPr>
        <w:t>)</w:t>
      </w:r>
      <w:r>
        <w:rPr>
          <w:rFonts w:hint="eastAsia" w:ascii="仿宋" w:hAnsi="仿宋" w:eastAsia="仿宋"/>
          <w:sz w:val="32"/>
          <w:szCs w:val="32"/>
        </w:rPr>
        <w:t>研究拟定全县广播电影电视和信息网络视听节目服务的相关技术标准和部门规范性文件。</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（十八）组织推进全县广播电影电视领域的公共服务，组织实施全县广播电影电视重大工程，指导和监管全县广播电影电视重点基础设施建设。负责全县电影发行、放映管理工作。</w:t>
      </w:r>
    </w:p>
    <w:p>
      <w:pPr>
        <w:spacing w:line="560" w:lineRule="exact"/>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十九）对全县广播电视播出机构和广播电视节目、电视剧制作单位的建立和撤销进行审核上报；对发放和吊销电视剧制作、发行许可证进行审核上报；监管全县广播电影电视节目、信息网络视听节目和公共视听载体播放的视听节目，审查其内容和质量；协调在广播电影电视事业建设方面的事项。</w:t>
      </w:r>
    </w:p>
    <w:p>
      <w:pPr>
        <w:spacing w:line="560" w:lineRule="exact"/>
        <w:jc w:val="left"/>
        <w:rPr>
          <w:rFonts w:ascii="仿宋" w:hAnsi="仿宋" w:eastAsia="仿宋"/>
          <w:bCs/>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二十</w:t>
      </w:r>
      <w:r>
        <w:rPr>
          <w:rFonts w:ascii="仿宋" w:hAnsi="仿宋" w:eastAsia="仿宋"/>
          <w:kern w:val="0"/>
          <w:sz w:val="32"/>
          <w:szCs w:val="32"/>
        </w:rPr>
        <w:t>)</w:t>
      </w:r>
      <w:r>
        <w:rPr>
          <w:rFonts w:hint="eastAsia" w:ascii="仿宋" w:hAnsi="仿宋" w:eastAsia="仿宋"/>
          <w:kern w:val="0"/>
          <w:sz w:val="32"/>
          <w:szCs w:val="32"/>
        </w:rPr>
        <w:t>负责全县广播电影电视制作、信息网络视听节目服务机构和业务的监管</w:t>
      </w:r>
      <w:r>
        <w:rPr>
          <w:rFonts w:hint="eastAsia" w:ascii="仿宋" w:hAnsi="仿宋" w:eastAsia="仿宋"/>
          <w:bCs/>
          <w:kern w:val="0"/>
          <w:sz w:val="32"/>
          <w:szCs w:val="32"/>
        </w:rPr>
        <w:t>。</w:t>
      </w:r>
    </w:p>
    <w:p>
      <w:pPr>
        <w:spacing w:line="560" w:lineRule="exact"/>
        <w:ind w:firstLine="320" w:firstLineChars="100"/>
        <w:jc w:val="left"/>
        <w:rPr>
          <w:rFonts w:ascii="仿宋" w:hAnsi="仿宋" w:eastAsia="仿宋"/>
          <w:kern w:val="0"/>
          <w:sz w:val="32"/>
          <w:szCs w:val="32"/>
        </w:rPr>
      </w:pPr>
      <w:r>
        <w:rPr>
          <w:rFonts w:hint="eastAsia" w:ascii="仿宋" w:hAnsi="仿宋" w:eastAsia="仿宋"/>
          <w:kern w:val="0"/>
          <w:sz w:val="32"/>
          <w:szCs w:val="32"/>
        </w:rPr>
        <w:t>（二十一）指导全县广播电影电视节目、信息网络视听节目服务科技工作</w:t>
      </w:r>
      <w:bookmarkStart w:id="0" w:name="OLE_LINK4"/>
      <w:r>
        <w:rPr>
          <w:rFonts w:hint="eastAsia" w:ascii="仿宋" w:hAnsi="仿宋" w:eastAsia="仿宋"/>
          <w:kern w:val="0"/>
          <w:sz w:val="32"/>
          <w:szCs w:val="32"/>
        </w:rPr>
        <w:t>，负责监管全县广播电影电视节目传输、监测和安全播出；拟定全县广播影视传输覆盖网和监测监管网的规划，指导其分级建设和开发工作</w:t>
      </w:r>
      <w:bookmarkEnd w:id="0"/>
      <w:r>
        <w:rPr>
          <w:rFonts w:hint="eastAsia" w:ascii="仿宋" w:hAnsi="仿宋" w:eastAsia="仿宋"/>
          <w:kern w:val="0"/>
          <w:sz w:val="32"/>
          <w:szCs w:val="32"/>
        </w:rPr>
        <w:t>。</w:t>
      </w:r>
    </w:p>
    <w:p>
      <w:pPr>
        <w:spacing w:line="560" w:lineRule="exact"/>
        <w:ind w:firstLine="320" w:firstLineChars="100"/>
        <w:jc w:val="left"/>
        <w:rPr>
          <w:rFonts w:ascii="仿宋" w:hAnsi="仿宋" w:eastAsia="仿宋"/>
          <w:sz w:val="32"/>
          <w:szCs w:val="32"/>
        </w:rPr>
      </w:pPr>
      <w:r>
        <w:rPr>
          <w:rFonts w:hint="eastAsia" w:ascii="仿宋" w:hAnsi="仿宋" w:eastAsia="仿宋"/>
          <w:sz w:val="32"/>
          <w:szCs w:val="32"/>
        </w:rPr>
        <w:t>（二十二）研究拟定并组织实施体育事业发展规划，发展全县文化体育事业，管理全县重大体育活动和体育训练、比赛，开展全民健身运动，对体育组织和协会进行管理。</w:t>
      </w:r>
    </w:p>
    <w:p>
      <w:pPr>
        <w:spacing w:line="560" w:lineRule="exact"/>
        <w:ind w:firstLine="320" w:firstLineChars="100"/>
        <w:jc w:val="left"/>
        <w:rPr>
          <w:rFonts w:ascii="仿宋" w:hAnsi="仿宋" w:eastAsia="仿宋"/>
          <w:sz w:val="32"/>
          <w:szCs w:val="32"/>
        </w:rPr>
      </w:pPr>
      <w:r>
        <w:rPr>
          <w:rFonts w:hint="eastAsia" w:ascii="仿宋" w:hAnsi="仿宋" w:eastAsia="仿宋"/>
          <w:sz w:val="32"/>
          <w:szCs w:val="32"/>
        </w:rPr>
        <w:t>（二十三）研究拟定并组织全县旅游行业人才教育培训规划，指导全县旅游行业岗位培训工作；组织导游人员从业资格考试，指导实施旅游从业人员的职业资格标准和等级标准。</w:t>
      </w:r>
    </w:p>
    <w:p>
      <w:pPr>
        <w:spacing w:line="560" w:lineRule="exact"/>
        <w:ind w:firstLine="640" w:firstLineChars="200"/>
        <w:jc w:val="left"/>
        <w:rPr>
          <w:rFonts w:ascii="仿宋" w:hAnsi="仿宋" w:eastAsia="仿宋"/>
          <w:sz w:val="32"/>
          <w:szCs w:val="32"/>
          <w:u w:val="single"/>
        </w:rPr>
      </w:pPr>
      <w:r>
        <w:rPr>
          <w:rFonts w:ascii="仿宋" w:hAnsi="仿宋" w:eastAsia="仿宋"/>
          <w:kern w:val="0"/>
          <w:sz w:val="32"/>
          <w:szCs w:val="32"/>
        </w:rPr>
        <w:t>(</w:t>
      </w:r>
      <w:r>
        <w:rPr>
          <w:rFonts w:hint="eastAsia" w:ascii="仿宋" w:hAnsi="仿宋" w:eastAsia="仿宋"/>
          <w:kern w:val="0"/>
          <w:sz w:val="32"/>
          <w:szCs w:val="32"/>
        </w:rPr>
        <w:t>二十四</w:t>
      </w:r>
      <w:r>
        <w:rPr>
          <w:rFonts w:ascii="仿宋" w:hAnsi="仿宋" w:eastAsia="仿宋"/>
          <w:kern w:val="0"/>
          <w:sz w:val="32"/>
          <w:szCs w:val="32"/>
        </w:rPr>
        <w:t>)</w:t>
      </w:r>
      <w:r>
        <w:rPr>
          <w:rFonts w:hint="eastAsia" w:ascii="仿宋" w:hAnsi="仿宋" w:eastAsia="仿宋"/>
          <w:sz w:val="32"/>
          <w:szCs w:val="32"/>
        </w:rPr>
        <w:t>承办县委、县政府交办的其他事项。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4</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香河县文化广电和旅游局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香河县文化馆</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香河县评剧团</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val="en-US" w:eastAsia="zh-CN"/>
              </w:rPr>
              <w:t>4</w:t>
            </w:r>
          </w:p>
        </w:tc>
        <w:tc>
          <w:tcPr>
            <w:tcW w:w="3485" w:type="dxa"/>
            <w:tcBorders>
              <w:bottom w:val="single" w:color="auto" w:sz="4" w:space="0"/>
            </w:tcBorders>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香河县电影放映发行公司</w:t>
            </w:r>
          </w:p>
        </w:tc>
        <w:tc>
          <w:tcPr>
            <w:tcW w:w="2445" w:type="dxa"/>
            <w:tcBorders>
              <w:bottom w:val="single" w:color="auto" w:sz="4" w:space="0"/>
            </w:tcBorders>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经费自理事业单位</w:t>
            </w: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highlight w:val="none"/>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3751.33</w:t>
      </w:r>
      <w:r>
        <w:rPr>
          <w:rFonts w:hint="eastAsia" w:ascii="仿宋_GB2312" w:hAnsi="Times New Roman" w:eastAsia="仿宋_GB2312" w:cs="DengXian-Regular"/>
          <w:sz w:val="32"/>
          <w:szCs w:val="32"/>
        </w:rPr>
        <w:t>万元。与2018年度决算相比，收支增加</w:t>
      </w:r>
      <w:r>
        <w:rPr>
          <w:rFonts w:hint="eastAsia" w:ascii="仿宋_GB2312" w:hAnsi="Times New Roman" w:eastAsia="仿宋_GB2312" w:cs="DengXian-Regular"/>
          <w:sz w:val="32"/>
          <w:szCs w:val="32"/>
          <w:lang w:val="en-US" w:eastAsia="zh-CN"/>
        </w:rPr>
        <w:t>249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业务活动增加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3442.54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3258.7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95.0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183.84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3249.64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3188.64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61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3258.7</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9.55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业务活动经费增加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3249.64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112.4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业务活动增加</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3015.88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175.05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业务活动经费增加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3249.64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275.39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业务活动增加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41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170.28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单位合并，电影专项与体彩公益金不再拨付本单位</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131.37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69.0</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是电影专项与体彩公益不再有支出金额</w:t>
      </w:r>
      <w:r>
        <w:rPr>
          <w:rFonts w:hint="eastAsia" w:ascii="仿宋_GB2312" w:hAnsi="Times New Roman" w:eastAsia="仿宋_GB2312" w:cs="DengXian-Regular"/>
          <w:sz w:val="32"/>
          <w:szCs w:val="32"/>
        </w:rPr>
        <w:t>。</w:t>
      </w:r>
    </w:p>
    <w:p>
      <w:pPr>
        <w:snapToGrid w:val="0"/>
        <w:spacing w:line="580" w:lineRule="exact"/>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3258.7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127.0</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698.61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年初机构合并，金额增加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3249.64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126.0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增加689.55</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val="en-US" w:eastAsia="zh-CN"/>
        </w:rPr>
        <w:t>大于</w:t>
      </w:r>
      <w:r>
        <w:rPr>
          <w:rFonts w:hint="eastAsia" w:ascii="仿宋_GB2312" w:hAnsi="Times New Roman" w:eastAsia="仿宋_GB2312" w:cs="DengXian-Regular"/>
          <w:sz w:val="32"/>
          <w:szCs w:val="32"/>
        </w:rPr>
        <w:t>预算数主要原因是主要是</w:t>
      </w:r>
      <w:r>
        <w:rPr>
          <w:rFonts w:hint="eastAsia" w:ascii="仿宋_GB2312" w:hAnsi="Times New Roman" w:eastAsia="仿宋_GB2312" w:cs="DengXian-Regular"/>
          <w:sz w:val="32"/>
          <w:szCs w:val="32"/>
          <w:lang w:val="en-US" w:eastAsia="zh-CN"/>
        </w:rPr>
        <w:t>机构合并，收入金额增加，活动开展增多</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125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657.61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年初机构合并，金额增加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118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469.81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机构合并，收入金额增加，活动开展增多</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年初机构合并，金额增加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机构合并，收入金额增加，活动开展增多</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3090.9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文化旅游体育与传媒支出3076.89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97.0</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7.86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卫生健康支出3.52万元，占1.0%；</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2.63</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3029.87</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1063.31</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1966.56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77.0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2.27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。具体情况如下：</w:t>
      </w:r>
    </w:p>
    <w:p>
      <w:pPr>
        <w:adjustRightInd w:val="0"/>
        <w:snapToGrid w:val="0"/>
        <w:spacing w:line="584" w:lineRule="exact"/>
        <w:ind w:firstLine="643" w:firstLineChars="200"/>
        <w:rPr>
          <w:rFonts w:hint="eastAsia" w:eastAsia="仿宋_GB2312"/>
          <w:color w:val="000000"/>
          <w:sz w:val="32"/>
          <w:szCs w:val="32"/>
          <w:highlight w:val="none"/>
          <w:lang w:eastAsia="zh-CN"/>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eastAsia="仿宋_GB2312"/>
          <w:color w:val="000000"/>
          <w:sz w:val="32"/>
          <w:szCs w:val="32"/>
          <w:highlight w:val="none"/>
        </w:rPr>
        <w:t>本部门 2019 年度因公出国（境）团组 0 个、参加其他单位组织的因公出国（境）团组 0 个、无本单位组织的出国（境）团组。</w:t>
      </w:r>
      <w:r>
        <w:rPr>
          <w:rFonts w:hint="eastAsia" w:eastAsia="仿宋_GB2312"/>
          <w:color w:val="000000"/>
          <w:sz w:val="32"/>
          <w:szCs w:val="32"/>
          <w:highlight w:val="none"/>
        </w:rPr>
        <w:t>较年初预算无增减变化、较201</w:t>
      </w:r>
      <w:r>
        <w:rPr>
          <w:rFonts w:hint="eastAsia" w:eastAsia="仿宋_GB2312"/>
          <w:color w:val="000000"/>
          <w:sz w:val="32"/>
          <w:szCs w:val="32"/>
          <w:highlight w:val="none"/>
          <w:lang w:val="en-US" w:eastAsia="zh-CN"/>
        </w:rPr>
        <w:t>8</w:t>
      </w:r>
      <w:r>
        <w:rPr>
          <w:rFonts w:hint="eastAsia" w:eastAsia="仿宋_GB2312"/>
          <w:color w:val="000000"/>
          <w:sz w:val="32"/>
          <w:szCs w:val="32"/>
          <w:highlight w:val="none"/>
        </w:rPr>
        <w:t>年度决算无增减变化</w:t>
      </w:r>
      <w:r>
        <w:rPr>
          <w:rFonts w:hint="eastAsia" w:eastAsia="仿宋_GB2312"/>
          <w:color w:val="000000"/>
          <w:sz w:val="32"/>
          <w:szCs w:val="32"/>
          <w:highlight w:val="none"/>
          <w:lang w:eastAsia="zh-CN"/>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2.27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4" w:lineRule="exact"/>
        <w:ind w:firstLine="643" w:firstLineChars="200"/>
        <w:rPr>
          <w:rFonts w:hint="eastAsia" w:eastAsia="仿宋_GB2312"/>
          <w:sz w:val="32"/>
          <w:szCs w:val="32"/>
          <w:highlight w:val="none"/>
          <w:lang w:eastAsia="zh-CN"/>
        </w:rPr>
      </w:pPr>
      <w:r>
        <w:rPr>
          <w:rFonts w:hint="eastAsia" w:ascii="仿宋_GB2312" w:hAnsi="Times New Roman" w:eastAsia="仿宋_GB2312" w:cs="DengXian-Regular"/>
          <w:b/>
          <w:sz w:val="32"/>
          <w:szCs w:val="32"/>
        </w:rPr>
        <w:t>公务用车购置费：</w:t>
      </w:r>
      <w:r>
        <w:rPr>
          <w:rFonts w:hint="eastAsia" w:eastAsia="仿宋_GB2312"/>
          <w:sz w:val="32"/>
          <w:szCs w:val="32"/>
        </w:rPr>
        <w:t>本部门</w:t>
      </w:r>
      <w:r>
        <w:rPr>
          <w:rFonts w:eastAsia="仿宋_GB2312"/>
          <w:sz w:val="32"/>
          <w:szCs w:val="32"/>
        </w:rPr>
        <w:t>201</w:t>
      </w:r>
      <w:r>
        <w:rPr>
          <w:rFonts w:hint="eastAsia" w:eastAsia="仿宋_GB2312"/>
          <w:sz w:val="32"/>
          <w:szCs w:val="32"/>
          <w:lang w:val="en-US" w:eastAsia="zh-CN"/>
        </w:rPr>
        <w:t>9</w:t>
      </w:r>
      <w:r>
        <w:rPr>
          <w:rFonts w:hint="eastAsia" w:eastAsia="仿宋_GB2312"/>
          <w:sz w:val="32"/>
          <w:szCs w:val="32"/>
        </w:rPr>
        <w:t>年度</w:t>
      </w:r>
      <w:r>
        <w:rPr>
          <w:rFonts w:hint="eastAsia" w:eastAsia="仿宋_GB2312"/>
          <w:color w:val="000000"/>
          <w:sz w:val="32"/>
          <w:szCs w:val="32"/>
          <w:highlight w:val="none"/>
        </w:rPr>
        <w:t>未发生</w:t>
      </w:r>
      <w:r>
        <w:rPr>
          <w:rFonts w:hint="eastAsia" w:eastAsia="仿宋_GB2312"/>
          <w:sz w:val="32"/>
          <w:szCs w:val="32"/>
        </w:rPr>
        <w:t>“公务用车购置费”</w:t>
      </w:r>
      <w:r>
        <w:rPr>
          <w:rFonts w:hint="eastAsia" w:eastAsia="仿宋_GB2312"/>
          <w:color w:val="000000"/>
          <w:sz w:val="32"/>
          <w:szCs w:val="32"/>
          <w:highlight w:val="none"/>
        </w:rPr>
        <w:t>经费支出</w:t>
      </w:r>
      <w:r>
        <w:rPr>
          <w:rFonts w:hint="eastAsia" w:eastAsia="仿宋_GB2312"/>
          <w:color w:val="000000"/>
          <w:sz w:val="32"/>
          <w:szCs w:val="32"/>
          <w:highlight w:val="none"/>
          <w:lang w:eastAsia="zh-CN"/>
        </w:rPr>
        <w:t>，</w:t>
      </w:r>
      <w:r>
        <w:rPr>
          <w:rFonts w:hint="eastAsia" w:eastAsia="仿宋_GB2312"/>
          <w:color w:val="000000"/>
          <w:sz w:val="32"/>
          <w:szCs w:val="32"/>
          <w:highlight w:val="none"/>
        </w:rPr>
        <w:t>较年初预算无增减变</w:t>
      </w:r>
      <w:r>
        <w:rPr>
          <w:rFonts w:hint="eastAsia" w:eastAsia="仿宋_GB2312"/>
          <w:color w:val="000000"/>
          <w:sz w:val="32"/>
          <w:szCs w:val="32"/>
          <w:highlight w:val="none"/>
          <w:lang w:val="en-US" w:eastAsia="zh-CN"/>
        </w:rPr>
        <w:t>化，</w:t>
      </w:r>
      <w:r>
        <w:rPr>
          <w:rFonts w:hint="eastAsia" w:eastAsia="仿宋_GB2312"/>
          <w:color w:val="000000"/>
          <w:sz w:val="32"/>
          <w:szCs w:val="32"/>
          <w:highlight w:val="none"/>
        </w:rPr>
        <w:t>较</w:t>
      </w:r>
      <w:r>
        <w:rPr>
          <w:rFonts w:eastAsia="仿宋_GB2312"/>
          <w:color w:val="000000"/>
          <w:sz w:val="32"/>
          <w:szCs w:val="32"/>
          <w:highlight w:val="none"/>
        </w:rPr>
        <w:t>201</w:t>
      </w:r>
      <w:r>
        <w:rPr>
          <w:rFonts w:hint="eastAsia" w:eastAsia="仿宋_GB2312"/>
          <w:color w:val="000000"/>
          <w:sz w:val="32"/>
          <w:szCs w:val="32"/>
          <w:highlight w:val="none"/>
          <w:lang w:val="en-US" w:eastAsia="zh-CN"/>
        </w:rPr>
        <w:t>8</w:t>
      </w:r>
      <w:r>
        <w:rPr>
          <w:rFonts w:hint="eastAsia" w:eastAsia="仿宋_GB2312"/>
          <w:color w:val="000000"/>
          <w:sz w:val="32"/>
          <w:szCs w:val="32"/>
          <w:highlight w:val="none"/>
        </w:rPr>
        <w:t>年度决算无增减变化</w:t>
      </w:r>
      <w:r>
        <w:rPr>
          <w:rFonts w:hint="eastAsia" w:eastAsia="仿宋_GB2312"/>
          <w:color w:val="000000"/>
          <w:sz w:val="32"/>
          <w:szCs w:val="32"/>
          <w:highlight w:val="none"/>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2.27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公务用车运行减少</w:t>
      </w:r>
      <w:r>
        <w:rPr>
          <w:rFonts w:hint="eastAsia" w:ascii="仿宋_GB2312" w:hAnsi="Times New Roman" w:eastAsia="仿宋_GB2312" w:cs="DengXian-Regular"/>
          <w:sz w:val="32"/>
          <w:szCs w:val="32"/>
        </w:rPr>
        <w:t>。</w:t>
      </w:r>
    </w:p>
    <w:p>
      <w:pPr>
        <w:adjustRightInd w:val="0"/>
        <w:snapToGrid w:val="0"/>
        <w:spacing w:line="584"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eastAsia="仿宋_GB2312"/>
          <w:sz w:val="32"/>
          <w:szCs w:val="32"/>
        </w:rPr>
        <w:t>本部门</w:t>
      </w:r>
      <w:r>
        <w:rPr>
          <w:rFonts w:eastAsia="仿宋_GB2312"/>
          <w:sz w:val="32"/>
          <w:szCs w:val="32"/>
        </w:rPr>
        <w:t>201</w:t>
      </w:r>
      <w:r>
        <w:rPr>
          <w:rFonts w:hint="eastAsia" w:eastAsia="仿宋_GB2312"/>
          <w:sz w:val="32"/>
          <w:szCs w:val="32"/>
          <w:lang w:val="en-US" w:eastAsia="zh-CN"/>
        </w:rPr>
        <w:t>9</w:t>
      </w:r>
      <w:r>
        <w:rPr>
          <w:rFonts w:hint="eastAsia" w:eastAsia="仿宋_GB2312"/>
          <w:sz w:val="32"/>
          <w:szCs w:val="32"/>
        </w:rPr>
        <w:t>年度公务接待共</w:t>
      </w:r>
      <w:r>
        <w:rPr>
          <w:rFonts w:hint="eastAsia" w:eastAsia="仿宋_GB2312"/>
          <w:sz w:val="32"/>
          <w:szCs w:val="32"/>
          <w:lang w:val="en-US" w:eastAsia="zh-CN"/>
        </w:rPr>
        <w:t>0</w:t>
      </w:r>
      <w:r>
        <w:rPr>
          <w:rFonts w:hint="eastAsia" w:eastAsia="仿宋_GB2312"/>
          <w:sz w:val="32"/>
          <w:szCs w:val="32"/>
        </w:rPr>
        <w:t>批次、</w:t>
      </w:r>
      <w:r>
        <w:rPr>
          <w:rFonts w:hint="eastAsia" w:eastAsia="仿宋_GB2312"/>
          <w:sz w:val="32"/>
          <w:szCs w:val="32"/>
          <w:lang w:val="en-US" w:eastAsia="zh-CN"/>
        </w:rPr>
        <w:t>0</w:t>
      </w:r>
      <w:r>
        <w:rPr>
          <w:rFonts w:hint="eastAsia" w:eastAsia="仿宋_GB2312"/>
          <w:sz w:val="32"/>
          <w:szCs w:val="32"/>
        </w:rPr>
        <w:t>人次。</w:t>
      </w:r>
      <w:r>
        <w:rPr>
          <w:rFonts w:hint="eastAsia" w:eastAsia="仿宋_GB2312"/>
          <w:color w:val="000000"/>
          <w:sz w:val="32"/>
          <w:szCs w:val="32"/>
          <w:highlight w:val="none"/>
        </w:rPr>
        <w:t>未发生</w:t>
      </w:r>
      <w:r>
        <w:rPr>
          <w:rFonts w:eastAsia="仿宋_GB2312"/>
          <w:color w:val="000000"/>
          <w:sz w:val="32"/>
          <w:szCs w:val="32"/>
          <w:highlight w:val="none"/>
        </w:rPr>
        <w:t>“</w:t>
      </w:r>
      <w:r>
        <w:rPr>
          <w:rFonts w:hint="eastAsia" w:eastAsia="仿宋_GB2312"/>
          <w:color w:val="000000"/>
          <w:sz w:val="32"/>
          <w:szCs w:val="32"/>
          <w:highlight w:val="none"/>
          <w:lang w:val="en-US" w:eastAsia="zh-CN"/>
        </w:rPr>
        <w:t>公务接待</w:t>
      </w:r>
      <w:r>
        <w:rPr>
          <w:rFonts w:eastAsia="仿宋_GB2312"/>
          <w:color w:val="000000"/>
          <w:sz w:val="32"/>
          <w:szCs w:val="32"/>
          <w:highlight w:val="none"/>
        </w:rPr>
        <w:t>”</w:t>
      </w:r>
      <w:r>
        <w:rPr>
          <w:rFonts w:hint="eastAsia" w:eastAsia="仿宋_GB2312"/>
          <w:color w:val="000000"/>
          <w:sz w:val="32"/>
          <w:szCs w:val="32"/>
          <w:highlight w:val="none"/>
        </w:rPr>
        <w:t>经费支出</w:t>
      </w:r>
      <w:r>
        <w:rPr>
          <w:rFonts w:hint="eastAsia" w:eastAsia="仿宋_GB2312"/>
          <w:color w:val="000000"/>
          <w:sz w:val="32"/>
          <w:szCs w:val="32"/>
          <w:highlight w:val="none"/>
          <w:lang w:eastAsia="zh-CN"/>
        </w:rPr>
        <w:t>，</w:t>
      </w:r>
      <w:r>
        <w:rPr>
          <w:rFonts w:hint="eastAsia" w:eastAsia="仿宋_GB2312"/>
          <w:color w:val="000000"/>
          <w:sz w:val="32"/>
          <w:szCs w:val="32"/>
          <w:highlight w:val="none"/>
        </w:rPr>
        <w:t>较年初预算无增减变化</w:t>
      </w:r>
      <w:r>
        <w:rPr>
          <w:rFonts w:hint="eastAsia" w:eastAsia="仿宋_GB2312"/>
          <w:color w:val="000000"/>
          <w:sz w:val="32"/>
          <w:szCs w:val="32"/>
          <w:highlight w:val="none"/>
          <w:lang w:eastAsia="zh-CN"/>
        </w:rPr>
        <w:t>，</w:t>
      </w:r>
      <w:r>
        <w:rPr>
          <w:rFonts w:hint="eastAsia" w:eastAsia="仿宋_GB2312"/>
          <w:color w:val="000000"/>
          <w:sz w:val="32"/>
          <w:szCs w:val="32"/>
          <w:highlight w:val="none"/>
        </w:rPr>
        <w:t>较</w:t>
      </w:r>
      <w:r>
        <w:rPr>
          <w:rFonts w:eastAsia="仿宋_GB2312"/>
          <w:color w:val="000000"/>
          <w:sz w:val="32"/>
          <w:szCs w:val="32"/>
          <w:highlight w:val="none"/>
        </w:rPr>
        <w:t>201</w:t>
      </w:r>
      <w:r>
        <w:rPr>
          <w:rFonts w:hint="eastAsia" w:eastAsia="仿宋_GB2312"/>
          <w:color w:val="000000"/>
          <w:sz w:val="32"/>
          <w:szCs w:val="32"/>
          <w:highlight w:val="none"/>
          <w:lang w:val="en-US" w:eastAsia="zh-CN"/>
        </w:rPr>
        <w:t>8</w:t>
      </w:r>
      <w:r>
        <w:rPr>
          <w:rFonts w:hint="eastAsia" w:eastAsia="仿宋_GB2312"/>
          <w:color w:val="000000"/>
          <w:sz w:val="32"/>
          <w:szCs w:val="32"/>
          <w:highlight w:val="none"/>
        </w:rPr>
        <w:t>年度决算无增减变化</w:t>
      </w:r>
      <w:r>
        <w:rPr>
          <w:rFonts w:hint="eastAsia" w:eastAsia="仿宋_GB2312"/>
          <w:color w:val="000000"/>
          <w:sz w:val="32"/>
          <w:szCs w:val="32"/>
          <w:highlight w:val="none"/>
          <w:lang w:eastAsia="zh-CN"/>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widowControl/>
        <w:spacing w:line="584" w:lineRule="exact"/>
        <w:ind w:firstLine="640" w:firstLineChars="200"/>
        <w:jc w:val="left"/>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val="en-US" w:eastAsia="zh-CN"/>
        </w:rPr>
        <w:t>本部门按照财政部门预算绩效管理要求，本部门以“部门职责</w:t>
      </w:r>
      <w:r>
        <w:rPr>
          <w:rFonts w:hint="eastAsia" w:ascii="Calibri" w:hAnsi="Calibri" w:eastAsia="仿宋_GB2312" w:cs="Times New Roman"/>
          <w:sz w:val="32"/>
          <w:szCs w:val="32"/>
        </w:rPr>
        <w:t>—</w:t>
      </w:r>
      <w:r>
        <w:rPr>
          <w:rFonts w:hint="eastAsia" w:ascii="Calibri" w:hAnsi="Calibri" w:eastAsia="仿宋_GB2312" w:cs="Times New Roman"/>
          <w:sz w:val="32"/>
          <w:szCs w:val="32"/>
          <w:lang w:eastAsia="zh-CN"/>
        </w:rPr>
        <w:t>工作活动绩效目标”为依据，制定了切实可靠的预算绩效评价实施方案，确定部门预算项目和预算额度，对评价项目进行了细化、量化，清晰描述预算项目开支范围和内容，确定预算项目的绩效目标、绩效指标和评价标准，为预算绩效控制、绩效分析、绩效评价打下良好基础。</w:t>
      </w:r>
    </w:p>
    <w:p>
      <w:pPr>
        <w:widowControl/>
        <w:spacing w:line="584" w:lineRule="exact"/>
        <w:ind w:firstLine="640" w:firstLineChars="200"/>
        <w:jc w:val="lef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本部门根据2019年度预算情况对各决算项目认真开展了绩效评价工作，本部门预算项目取得了良好的社会效益，减少了资金使用管理中的损失浪费现象，使资金达到合理、优化使用，本部门不断强化评价结果的应用，将预算项目、工作活动及综合绩效评价结果作为安排资金项目使用的重要依据。</w:t>
      </w:r>
    </w:p>
    <w:p>
      <w:pPr>
        <w:adjustRightInd w:val="0"/>
        <w:snapToGrid w:val="0"/>
        <w:spacing w:after="0" w:line="580" w:lineRule="exact"/>
        <w:ind w:firstLine="641"/>
        <w:rPr>
          <w:rFonts w:ascii="仿宋_GB2312" w:eastAsia="仿宋_GB2312" w:cs="DengXian-Regular"/>
          <w:sz w:val="32"/>
          <w:szCs w:val="32"/>
        </w:rPr>
      </w:pPr>
      <w:r>
        <w:rPr>
          <w:rFonts w:hint="eastAsia" w:ascii="楷体" w:hAnsi="楷体" w:eastAsia="楷体" w:cs="DengXian-Regular"/>
          <w:sz w:val="32"/>
          <w:szCs w:val="32"/>
        </w:rPr>
        <w:t>（二）项目绩效</w:t>
      </w:r>
      <w:r>
        <w:rPr>
          <w:rFonts w:hint="eastAsia" w:ascii="楷体" w:hAnsi="楷体" w:eastAsia="楷体" w:cs="宋体"/>
          <w:sz w:val="32"/>
          <w:szCs w:val="32"/>
        </w:rPr>
        <w:t>自评</w:t>
      </w:r>
      <w:r>
        <w:rPr>
          <w:rFonts w:hint="eastAsia" w:ascii="楷体" w:hAnsi="楷体" w:eastAsia="楷体" w:cs="___WRD_EMBED_SUB_39"/>
          <w:sz w:val="32"/>
          <w:szCs w:val="32"/>
        </w:rPr>
        <w:t>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通过开展201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年专项项目绩效评价，我部门社会效益良好，绩效综合评价等级“优”。</w:t>
      </w:r>
    </w:p>
    <w:p>
      <w:pPr>
        <w:widowControl/>
        <w:spacing w:after="0"/>
        <w:ind w:firstLine="641"/>
        <w:jc w:val="left"/>
        <w:rPr>
          <w:rFonts w:ascii="仿宋_GB2312" w:hAnsi="仿宋_GB2312" w:eastAsia="仿宋_GB2312" w:cs="仿宋_GB2312"/>
          <w:b/>
          <w:bCs/>
          <w:sz w:val="32"/>
          <w:szCs w:val="32"/>
        </w:rPr>
      </w:pPr>
      <w:r>
        <w:rPr>
          <w:rFonts w:hint="eastAsia" w:ascii="楷体" w:hAnsi="楷体" w:eastAsia="楷体" w:cs="DengXian-Regular"/>
          <w:sz w:val="32"/>
          <w:szCs w:val="32"/>
        </w:rPr>
        <w:t>（三）重</w:t>
      </w:r>
      <w:r>
        <w:rPr>
          <w:rFonts w:hint="eastAsia" w:ascii="楷体" w:hAnsi="楷体" w:eastAsia="楷体" w:cs="宋体"/>
          <w:sz w:val="32"/>
          <w:szCs w:val="32"/>
        </w:rPr>
        <w:t>点</w:t>
      </w:r>
      <w:r>
        <w:rPr>
          <w:rFonts w:hint="eastAsia" w:ascii="楷体" w:hAnsi="楷体" w:eastAsia="楷体" w:cs="___WRD_EMBED_SUB_39"/>
          <w:sz w:val="32"/>
          <w:szCs w:val="32"/>
        </w:rPr>
        <w:t>项目绩效</w:t>
      </w:r>
      <w:r>
        <w:rPr>
          <w:rFonts w:hint="eastAsia" w:ascii="楷体" w:hAnsi="楷体" w:eastAsia="楷体" w:cs="宋体"/>
          <w:sz w:val="32"/>
          <w:szCs w:val="32"/>
        </w:rPr>
        <w:t>评</w:t>
      </w:r>
      <w:r>
        <w:rPr>
          <w:rFonts w:hint="eastAsia" w:ascii="楷体" w:hAnsi="楷体" w:eastAsia="楷体" w:cs="___WRD_EMBED_SUB_39"/>
          <w:sz w:val="32"/>
          <w:szCs w:val="32"/>
        </w:rPr>
        <w:t>价结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通过绩效评价，促进了项目管理水平的提高，进一步完善了规章制度；明确了各项目绩效目标，合理设置内容全面、可操作性强的绩效评价指标，达到了绩效考核的目的。</w:t>
      </w:r>
    </w:p>
    <w:p>
      <w:pPr>
        <w:widowControl/>
        <w:spacing w:line="584" w:lineRule="exact"/>
        <w:ind w:firstLine="640" w:firstLineChars="200"/>
        <w:jc w:val="left"/>
        <w:rPr>
          <w:rFonts w:hint="eastAsia" w:ascii="Calibri" w:hAnsi="Calibri" w:eastAsia="仿宋_GB2312" w:cs="Times New Roman"/>
          <w:sz w:val="32"/>
          <w:szCs w:val="32"/>
          <w:lang w:val="en-US" w:eastAsia="zh-CN"/>
        </w:rPr>
      </w:pPr>
      <w:bookmarkStart w:id="1" w:name="_GoBack"/>
      <w:bookmarkEnd w:id="1"/>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1966.56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86.68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办公费用增多</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478.4</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391.9</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86.5</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机构合并，车辆增加</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用于拿文送文</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default" w:ascii="楷体_GB2312" w:hAnsi="Times New Roman" w:eastAsia="仿宋_GB2312" w:cs="DengXian-Bold"/>
          <w:b/>
          <w:bCs/>
          <w:sz w:val="32"/>
          <w:szCs w:val="32"/>
          <w:lang w:val="en-US" w:eastAsia="zh-CN"/>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val="en-US" w:eastAsia="zh-CN"/>
        </w:rPr>
        <w:t>无增减。</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val="en-US" w:eastAsia="zh-CN"/>
        </w:rPr>
        <w:t>国有资产</w:t>
      </w:r>
      <w:r>
        <w:rPr>
          <w:rFonts w:hint="eastAsia" w:ascii="仿宋_GB2312" w:eastAsia="仿宋_GB2312" w:cs="DengXian-Regular"/>
          <w:sz w:val="32"/>
          <w:szCs w:val="32"/>
          <w:lang w:val="en-US" w:eastAsia="zh-CN"/>
        </w:rPr>
        <w:t>经营</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国有资产</w:t>
      </w:r>
      <w:r>
        <w:rPr>
          <w:rFonts w:hint="eastAsia" w:ascii="仿宋_GB2312" w:eastAsia="仿宋_GB2312" w:cs="DengXian-Regular"/>
          <w:sz w:val="32"/>
          <w:szCs w:val="32"/>
          <w:lang w:val="en-US" w:eastAsia="zh-CN"/>
        </w:rPr>
        <w:t>经营</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042"/>
        <w:gridCol w:w="925"/>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0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04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部门：廊坊市香河县文化广电和旅游局（本级）</w:t>
            </w:r>
          </w:p>
        </w:tc>
        <w:tc>
          <w:tcPr>
            <w:tcW w:w="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3217.7</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183.84</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3235.65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7.85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3.51</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2.63</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3442.54</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3249.64</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308.79</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501.68</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04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3751.33</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3751.32</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Ind w:w="0" w:type="dxa"/>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廊坊市香河县文化广电和旅游局（本级）</w:t>
            </w: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3442.25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3258.7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183.84</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3428.55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3244.71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183.84</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文化和旅游</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2944.28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2924.28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1447.18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1447.18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艺术表演团体</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群众文化</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558.83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538.83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文化和旅游交流与合作</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文化创作与保护</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文化和旅游市场管理</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旅游宣传</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491.37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491.37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旅游行业业务管理</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其他文化和旅游支出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219.69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219.69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新闻出版电影</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102.2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100.31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100.31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电影</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国家电影事业发展专项资金安排的支出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2070799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其他国家电影事业发展专项资金支出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其他文化体育与传媒支出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341.07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177.23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163.84</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其他文化体育与传媒支出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341.07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177.23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163.84</w:t>
            </w: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卫生健康支出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廊坊市香河县文化广电和旅游局（本级）</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3249.64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3188.64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3235.65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3174.65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文化和旅游</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2700.62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2700.62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1317.1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艺术表演团体</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群众文化</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文化和旅游交流与合作</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文化创作与保护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文化和旅游市场管理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旅游宣传</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475.97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旅游行业业务管理</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122.25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122.25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其他文化和旅游支出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219.69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219.69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新闻出版电影</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100.31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电影</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国家电影事业发展专项资金安排的支出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2070799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其他国家电影事业发展专项资金支出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20709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旅游发展基金支出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2070904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地方旅游开发项目补助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其他文化体育与传媒支出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371.84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371.84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color w:val="000000"/>
                <w:sz w:val="22"/>
                <w:lang w:val="en-US"/>
              </w:rPr>
            </w:pPr>
            <w:r>
              <w:rPr>
                <w:rFonts w:hint="default" w:ascii="Arial" w:hAnsi="Arial" w:eastAsia="宋体" w:cs="Arial"/>
                <w:i w:val="0"/>
                <w:color w:val="000000"/>
                <w:kern w:val="0"/>
                <w:sz w:val="20"/>
                <w:szCs w:val="20"/>
                <w:u w:val="none"/>
                <w:lang w:val="en-US" w:eastAsia="zh-CN" w:bidi="ar"/>
              </w:rPr>
              <w:t xml:space="preserve">  其他文化体育与传媒支出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371.84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371.84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color w:val="000000"/>
                <w:sz w:val="22"/>
                <w:lang w:val="en-US"/>
              </w:rPr>
            </w:pPr>
            <w:r>
              <w:rPr>
                <w:rFonts w:hint="default" w:ascii="Arial" w:hAnsi="Arial" w:eastAsia="宋体" w:cs="Arial"/>
                <w:i w:val="0"/>
                <w:color w:val="000000"/>
                <w:kern w:val="0"/>
                <w:sz w:val="20"/>
                <w:szCs w:val="20"/>
                <w:u w:val="none"/>
                <w:lang w:val="en-US" w:eastAsia="zh-CN" w:bidi="ar"/>
              </w:rPr>
              <w:t>社会保障和就</w:t>
            </w:r>
            <w:r>
              <w:rPr>
                <w:rFonts w:hint="eastAsia" w:ascii="Arial" w:hAnsi="Arial" w:eastAsia="宋体" w:cs="Arial"/>
                <w:i w:val="0"/>
                <w:color w:val="000000"/>
                <w:kern w:val="0"/>
                <w:sz w:val="20"/>
                <w:szCs w:val="20"/>
                <w:u w:val="none"/>
                <w:lang w:val="en-US" w:eastAsia="zh-CN" w:bidi="ar"/>
              </w:rPr>
              <w:t>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部门：廊坊市香河县文化广电和旅游局（本级）</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494"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3217.7</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3076.88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3015.88</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62"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3258.7</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3090.86</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3029.86</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243.84</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411.67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411.67</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223.84</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3502.54</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3502.54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3441.54</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w:t>
            </w: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廊坊市香河县文化广电和旅游局（本级）</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3029.86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3029.86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3015.88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3015.88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文化和旅游</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2654.31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2654.31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1317.1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1317.1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艺术表演团体</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2070109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群众文化</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399.65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399.65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文化和旅游交流与合作</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117.71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文化创作与保护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文化和旅游市场管理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旅游宣传</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475.97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475.97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2070114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旅游行业业务管理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95.95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95.95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2070199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其他文化和旅游支出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219.69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219.69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新闻出版电影</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100.31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2070607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电影</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其他文化体育与传媒支出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259.37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259.37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2079999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其他文化体育与传媒支出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259.37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259.37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7.85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b/>
                <w:bCs/>
                <w:color w:val="000000"/>
                <w:sz w:val="20"/>
                <w:szCs w:val="20"/>
              </w:rPr>
            </w:pPr>
            <w:r>
              <w:rPr>
                <w:rFonts w:hint="eastAsia" w:ascii="Arial" w:hAnsi="Arial" w:cs="Arial"/>
                <w:b/>
                <w:bCs/>
                <w:color w:val="000000"/>
                <w:sz w:val="20"/>
                <w:szCs w:val="20"/>
              </w:rPr>
              <w:t>廊坊市香河县文化广电和旅游局（本级）</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863.51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1966.56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247.13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10.98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180.02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182.75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27.96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68.16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28.45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12.65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45.33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199.8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1928.2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199.8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1063.30</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1966.56</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廊坊市香河县文化广电和旅游局（本级）</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3.8</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2.91</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2.91</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2.91</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b/>
                <w:bCs/>
                <w:color w:val="000000"/>
                <w:sz w:val="20"/>
                <w:szCs w:val="20"/>
              </w:rPr>
            </w:pPr>
            <w:r>
              <w:rPr>
                <w:rFonts w:hint="eastAsia" w:ascii="Arial" w:hAnsi="Arial" w:cs="Arial"/>
                <w:b/>
                <w:bCs/>
                <w:color w:val="000000"/>
                <w:sz w:val="20"/>
                <w:szCs w:val="20"/>
              </w:rPr>
              <w:t>廊坊市香河县文化广电和旅游局（本级）</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2070707</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国家电影事业发展专项资金安排的支出</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2070799</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其他国家电影事业发展专项资金支出</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20709</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旅游发展基金支出</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2070904</w:t>
            </w: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地方旅游开发项目补助</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廊坊市香河县文化广电和旅游局（本级）</w:t>
            </w: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val="en-US" w:eastAsia="zh-CN"/>
        </w:rPr>
        <w:t>注：本部门本年度无相关收入（或支出、收支及结转结余等）情况，按要求空表列示。</w:t>
      </w:r>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panose1 w:val="02010609030101010101"/>
    <w:charset w:val="86"/>
    <w:family w:val="modern"/>
    <w:pitch w:val="default"/>
    <w:sig w:usb0="00000001" w:usb1="080E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 w:name="___WRD_EMBED_SUB_39">
    <w:altName w:val="宋体"/>
    <w:panose1 w:val="02010600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9F4329"/>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4095E7E"/>
    <w:rsid w:val="05B00A30"/>
    <w:rsid w:val="05E003D6"/>
    <w:rsid w:val="07DC3000"/>
    <w:rsid w:val="085A20B3"/>
    <w:rsid w:val="0A54588B"/>
    <w:rsid w:val="0A7F33B4"/>
    <w:rsid w:val="0B011416"/>
    <w:rsid w:val="0E0C0DDD"/>
    <w:rsid w:val="12791F6E"/>
    <w:rsid w:val="12DE4DC4"/>
    <w:rsid w:val="181675EF"/>
    <w:rsid w:val="1A96234D"/>
    <w:rsid w:val="1AC92AAE"/>
    <w:rsid w:val="1B025A73"/>
    <w:rsid w:val="1DC62322"/>
    <w:rsid w:val="1EF0293D"/>
    <w:rsid w:val="1F4B66EF"/>
    <w:rsid w:val="1FD947C5"/>
    <w:rsid w:val="21172F68"/>
    <w:rsid w:val="2291290A"/>
    <w:rsid w:val="23336F1D"/>
    <w:rsid w:val="24755D1A"/>
    <w:rsid w:val="26C41ACE"/>
    <w:rsid w:val="28A17B34"/>
    <w:rsid w:val="2AF975D9"/>
    <w:rsid w:val="2C493A19"/>
    <w:rsid w:val="2C72740D"/>
    <w:rsid w:val="2D4D1E41"/>
    <w:rsid w:val="2FD300A3"/>
    <w:rsid w:val="305E7252"/>
    <w:rsid w:val="30CC29FC"/>
    <w:rsid w:val="31C2036A"/>
    <w:rsid w:val="320D02A5"/>
    <w:rsid w:val="330555B1"/>
    <w:rsid w:val="348E566F"/>
    <w:rsid w:val="38B97477"/>
    <w:rsid w:val="39F31711"/>
    <w:rsid w:val="3A0A12AF"/>
    <w:rsid w:val="3A226944"/>
    <w:rsid w:val="3AEE6A48"/>
    <w:rsid w:val="3C1620AA"/>
    <w:rsid w:val="3D8F080F"/>
    <w:rsid w:val="3E9935DD"/>
    <w:rsid w:val="41D911C0"/>
    <w:rsid w:val="42510A2C"/>
    <w:rsid w:val="43CB242F"/>
    <w:rsid w:val="44CE1FA4"/>
    <w:rsid w:val="45350CEA"/>
    <w:rsid w:val="45540C7B"/>
    <w:rsid w:val="487F73ED"/>
    <w:rsid w:val="4A347EAE"/>
    <w:rsid w:val="4CD023AA"/>
    <w:rsid w:val="52600405"/>
    <w:rsid w:val="529B4319"/>
    <w:rsid w:val="52AE0C7A"/>
    <w:rsid w:val="54D27D56"/>
    <w:rsid w:val="5734372E"/>
    <w:rsid w:val="57773DD6"/>
    <w:rsid w:val="578B79AB"/>
    <w:rsid w:val="58703467"/>
    <w:rsid w:val="5AA22946"/>
    <w:rsid w:val="5BE80231"/>
    <w:rsid w:val="5CCD3FD5"/>
    <w:rsid w:val="5F075B13"/>
    <w:rsid w:val="61FA5F9D"/>
    <w:rsid w:val="620D4EBE"/>
    <w:rsid w:val="63180FA3"/>
    <w:rsid w:val="646C3277"/>
    <w:rsid w:val="64C52A51"/>
    <w:rsid w:val="64CD6910"/>
    <w:rsid w:val="661F0703"/>
    <w:rsid w:val="66C81A94"/>
    <w:rsid w:val="6789158D"/>
    <w:rsid w:val="679D0AD2"/>
    <w:rsid w:val="67D81BA4"/>
    <w:rsid w:val="685E5F46"/>
    <w:rsid w:val="69B173A2"/>
    <w:rsid w:val="6AA63ED6"/>
    <w:rsid w:val="6AAF1C96"/>
    <w:rsid w:val="6ACA177D"/>
    <w:rsid w:val="6AD050EA"/>
    <w:rsid w:val="6B230189"/>
    <w:rsid w:val="6B5312F5"/>
    <w:rsid w:val="6DC142E0"/>
    <w:rsid w:val="6DCE45D0"/>
    <w:rsid w:val="6DDD6A51"/>
    <w:rsid w:val="6F3F2F83"/>
    <w:rsid w:val="6F3F5B3A"/>
    <w:rsid w:val="6FE46D5C"/>
    <w:rsid w:val="71DE2173"/>
    <w:rsid w:val="72730087"/>
    <w:rsid w:val="75681757"/>
    <w:rsid w:val="75A346A8"/>
    <w:rsid w:val="764406CC"/>
    <w:rsid w:val="77E10289"/>
    <w:rsid w:val="79180C40"/>
    <w:rsid w:val="79B9382C"/>
    <w:rsid w:val="79E27D92"/>
    <w:rsid w:val="7A084D79"/>
    <w:rsid w:val="7B043B76"/>
    <w:rsid w:val="7C041A6A"/>
    <w:rsid w:val="7E233195"/>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ASUS</cp:lastModifiedBy>
  <cp:lastPrinted>2020-07-30T02:37:00Z</cp:lastPrinted>
  <dcterms:modified xsi:type="dcterms:W3CDTF">2021-05-27T02:51:19Z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